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2859" w14:textId="17B88051" w:rsidR="006D3942" w:rsidRPr="00083331" w:rsidRDefault="006D3942" w:rsidP="00083331">
      <w:pPr>
        <w:pStyle w:val="Document"/>
        <w:ind w:firstLine="0"/>
        <w:rPr>
          <w:szCs w:val="24"/>
        </w:rPr>
      </w:pPr>
      <w:bookmarkStart w:id="0" w:name="_Toc173015241"/>
      <w:bookmarkStart w:id="1" w:name="_Toc191465189"/>
      <w:r w:rsidRPr="006D3942">
        <w:t>Introduction</w:t>
      </w:r>
      <w:bookmarkEnd w:id="0"/>
      <w:bookmarkEnd w:id="1"/>
    </w:p>
    <w:p w14:paraId="7A889C05" w14:textId="2D6930E8" w:rsidR="006D3942" w:rsidRPr="006D3942" w:rsidRDefault="002021FF" w:rsidP="00695136">
      <w:pPr>
        <w:pStyle w:val="Document"/>
      </w:pPr>
      <w:r>
        <w:t>“‘</w:t>
      </w:r>
      <w:r w:rsidR="006D3942" w:rsidRPr="006D3942">
        <w:t>[W]e’re doing death-penalty cases in a traffic-court setting.</w:t>
      </w:r>
      <w:r w:rsidR="0091132D">
        <w:t>’</w:t>
      </w:r>
      <w:r w:rsidR="006D3942" w:rsidRPr="006D3942">
        <w:t>”</w:t>
      </w:r>
      <w:bookmarkStart w:id="2" w:name="_Ref180674314"/>
      <w:r w:rsidR="006D3942" w:rsidRPr="006D3942">
        <w:rPr>
          <w:rStyle w:val="NoteRefInText"/>
        </w:rPr>
        <w:footnoteReference w:id="1"/>
      </w:r>
      <w:bookmarkEnd w:id="2"/>
      <w:r w:rsidR="006D3942" w:rsidRPr="006D3942">
        <w:t xml:space="preserve"> Judge Dana Leigh Marks, president emeritus</w:t>
      </w:r>
      <w:r w:rsidR="00174A5A">
        <w:t xml:space="preserve"> </w:t>
      </w:r>
      <w:r w:rsidR="006D3942" w:rsidRPr="006D3942">
        <w:t>of the National Association of Immigration Judges (NAIJ) (the recognized collective</w:t>
      </w:r>
      <w:r w:rsidR="00106D5A">
        <w:t>-</w:t>
      </w:r>
      <w:r w:rsidR="006D3942" w:rsidRPr="006D3942">
        <w:t xml:space="preserve">bargaining unit representing </w:t>
      </w:r>
      <w:r w:rsidR="00CC365D">
        <w:t>i</w:t>
      </w:r>
      <w:r w:rsidR="006D3942" w:rsidRPr="006D3942">
        <w:t xml:space="preserve">mmigration </w:t>
      </w:r>
      <w:r w:rsidR="00CC365D">
        <w:t>j</w:t>
      </w:r>
      <w:r w:rsidR="006D3942" w:rsidRPr="006D3942">
        <w:t>udges</w:t>
      </w:r>
      <w:r w:rsidR="00106D5A" w:rsidRPr="00B053B5">
        <w:rPr>
          <w:rStyle w:val="NoteRefInText"/>
        </w:rPr>
        <w:footnoteReference w:id="2"/>
      </w:r>
      <w:r w:rsidR="006D3942" w:rsidRPr="006D3942">
        <w:t>)</w:t>
      </w:r>
      <w:r w:rsidR="00CC365D">
        <w:t>,</w:t>
      </w:r>
      <w:r w:rsidR="006D3942" w:rsidRPr="006D3942">
        <w:t xml:space="preserve"> provided a striking appraisal of the </w:t>
      </w:r>
      <w:r w:rsidR="00546E66">
        <w:t>then-</w:t>
      </w:r>
      <w:r w:rsidR="006D3942" w:rsidRPr="006D3942">
        <w:t xml:space="preserve">current situation facing </w:t>
      </w:r>
      <w:r w:rsidR="00CC365D">
        <w:t>i</w:t>
      </w:r>
      <w:r w:rsidR="006D3942" w:rsidRPr="006D3942">
        <w:t xml:space="preserve">mmigration </w:t>
      </w:r>
      <w:r w:rsidR="00CC365D">
        <w:t>c</w:t>
      </w:r>
      <w:r w:rsidR="006D3942" w:rsidRPr="006D3942">
        <w:t>ourts in April of 2018.</w:t>
      </w:r>
      <w:r w:rsidR="006D3942" w:rsidRPr="006D3942">
        <w:rPr>
          <w:rStyle w:val="NoteRefInText"/>
        </w:rPr>
        <w:footnoteReference w:id="3"/>
      </w:r>
      <w:r w:rsidR="006D3942" w:rsidRPr="006D3942">
        <w:t xml:space="preserve"> Judge Marks’</w:t>
      </w:r>
      <w:r w:rsidR="00CC365D">
        <w:t>s</w:t>
      </w:r>
      <w:r w:rsidR="006D3942" w:rsidRPr="006D3942">
        <w:t xml:space="preserve"> comment has since become a popular phrase quoted by advocates for comprehensive reform of the U.S. </w:t>
      </w:r>
      <w:r w:rsidR="00A57FC8">
        <w:t>i</w:t>
      </w:r>
      <w:r w:rsidR="006D3942" w:rsidRPr="006D3942">
        <w:t xml:space="preserve">mmigration </w:t>
      </w:r>
      <w:r w:rsidR="00A57FC8">
        <w:t>c</w:t>
      </w:r>
      <w:r w:rsidR="006D3942" w:rsidRPr="006D3942">
        <w:t>ourts.</w:t>
      </w:r>
      <w:r w:rsidR="006D3942" w:rsidRPr="006D3942">
        <w:rPr>
          <w:rStyle w:val="NoteRefInText"/>
        </w:rPr>
        <w:footnoteReference w:id="4"/>
      </w:r>
      <w:r w:rsidR="006D3942" w:rsidRPr="006D3942">
        <w:t xml:space="preserve"> As debate on immigration policy has become a hot-button topic in American politics, the public has turned its attention towards the </w:t>
      </w:r>
      <w:r w:rsidR="00B64C5C">
        <w:t xml:space="preserve">country’s </w:t>
      </w:r>
      <w:r w:rsidR="00CC365D">
        <w:t>s</w:t>
      </w:r>
      <w:r w:rsidR="006D3942" w:rsidRPr="006D3942">
        <w:t>outhern border and existential questions about U.S. immigration policy.</w:t>
      </w:r>
      <w:r w:rsidR="006D3942" w:rsidRPr="006D3942">
        <w:rPr>
          <w:rStyle w:val="NoteRefInText"/>
        </w:rPr>
        <w:footnoteReference w:id="5"/>
      </w:r>
      <w:r w:rsidR="006D3942" w:rsidRPr="006D3942">
        <w:t xml:space="preserve"> Moreover, since the Trump Administration’s</w:t>
      </w:r>
      <w:r w:rsidR="00F9614B">
        <w:t xml:space="preserve"> numerous</w:t>
      </w:r>
      <w:r w:rsidR="006D3942" w:rsidRPr="006D3942">
        <w:t xml:space="preserve"> public attacks on immigrants through incendiary policies such as </w:t>
      </w:r>
      <w:r w:rsidR="00AF3CE1">
        <w:t xml:space="preserve">the Executive Order </w:t>
      </w:r>
      <w:r w:rsidR="007513A7">
        <w:t xml:space="preserve">ending </w:t>
      </w:r>
      <w:r w:rsidR="00AF3CE1">
        <w:t>birthright citizenship</w:t>
      </w:r>
      <w:r w:rsidR="007513A7">
        <w:t>,</w:t>
      </w:r>
      <w:r w:rsidR="007513A7" w:rsidRPr="007F7F65">
        <w:rPr>
          <w:rStyle w:val="NoteRefInText"/>
        </w:rPr>
        <w:footnoteReference w:id="6"/>
      </w:r>
      <w:r w:rsidR="00AF3CE1">
        <w:t xml:space="preserve"> </w:t>
      </w:r>
      <w:r w:rsidR="006D3942" w:rsidRPr="006D3942">
        <w:t>the “Muslim Ban</w:t>
      </w:r>
      <w:r w:rsidR="00AF3CE1">
        <w:t>,</w:t>
      </w:r>
      <w:r w:rsidR="006D3942" w:rsidRPr="006D3942">
        <w:t>”</w:t>
      </w:r>
      <w:r w:rsidR="00106D5A" w:rsidRPr="00B053B5">
        <w:rPr>
          <w:rStyle w:val="NoteRefInText"/>
        </w:rPr>
        <w:footnoteReference w:id="7"/>
      </w:r>
      <w:r w:rsidR="006D3942" w:rsidRPr="006D3942">
        <w:t xml:space="preserve"> and family separation, public outrage has been directed towards the actions of enforcement agencies such as the Department of Homeland Security (DHS) and Immigration and Customs Enforcement (ICE).</w:t>
      </w:r>
      <w:r w:rsidR="006D3942" w:rsidRPr="006D3942">
        <w:rPr>
          <w:rStyle w:val="NoteRefInText"/>
        </w:rPr>
        <w:footnoteReference w:id="8"/>
      </w:r>
      <w:r w:rsidR="00040CDA">
        <w:t xml:space="preserve"> </w:t>
      </w:r>
      <w:r w:rsidR="006D3942" w:rsidRPr="006D3942">
        <w:t xml:space="preserve">However, considerably less public attention has been </w:t>
      </w:r>
      <w:r w:rsidR="006D3942" w:rsidRPr="006D3942">
        <w:lastRenderedPageBreak/>
        <w:t>captured by a central topic of concern for lawyers and advocates</w:t>
      </w:r>
      <w:r w:rsidR="00B85EEB">
        <w:t xml:space="preserve">—one that </w:t>
      </w:r>
      <w:r w:rsidR="006D3942" w:rsidRPr="006D3942">
        <w:t xml:space="preserve">has plagued the </w:t>
      </w:r>
      <w:r w:rsidR="00CC365D">
        <w:t>i</w:t>
      </w:r>
      <w:r w:rsidR="006D3942" w:rsidRPr="006D3942">
        <w:t xml:space="preserve">mmigration </w:t>
      </w:r>
      <w:r w:rsidR="00CC365D">
        <w:t>c</w:t>
      </w:r>
      <w:r w:rsidR="006D3942" w:rsidRPr="006D3942">
        <w:t xml:space="preserve">ourts since their inception: the striking control exerted by the </w:t>
      </w:r>
      <w:r w:rsidR="00CC365D">
        <w:t>E</w:t>
      </w:r>
      <w:r w:rsidR="006D3942" w:rsidRPr="006D3942">
        <w:t xml:space="preserve">xecutive </w:t>
      </w:r>
      <w:r w:rsidR="00CC365D">
        <w:t>B</w:t>
      </w:r>
      <w:r w:rsidR="006D3942" w:rsidRPr="006D3942">
        <w:t xml:space="preserve">ranch over the </w:t>
      </w:r>
      <w:r w:rsidR="00CC365D">
        <w:t>i</w:t>
      </w:r>
      <w:r w:rsidR="006D3942" w:rsidRPr="006D3942">
        <w:t xml:space="preserve">mmigration </w:t>
      </w:r>
      <w:r w:rsidR="00CC365D">
        <w:t>c</w:t>
      </w:r>
      <w:r w:rsidR="006D3942" w:rsidRPr="006D3942">
        <w:t xml:space="preserve">ourts and the resulting lack of judicial independence </w:t>
      </w:r>
      <w:r w:rsidR="00B85EEB">
        <w:t xml:space="preserve">in </w:t>
      </w:r>
      <w:r w:rsidR="006D3942" w:rsidRPr="006D3942">
        <w:t>immigration adjudication.</w:t>
      </w:r>
      <w:bookmarkStart w:id="3" w:name="_Ref177479486"/>
      <w:r w:rsidR="006D3942" w:rsidRPr="006D3942">
        <w:rPr>
          <w:rStyle w:val="NoteRefInText"/>
        </w:rPr>
        <w:footnoteReference w:id="9"/>
      </w:r>
      <w:bookmarkEnd w:id="3"/>
    </w:p>
    <w:p w14:paraId="30B62900" w14:textId="74676FF8" w:rsidR="006D3942" w:rsidRPr="006D3942" w:rsidRDefault="006D3942" w:rsidP="00695136">
      <w:pPr>
        <w:pStyle w:val="Document"/>
      </w:pPr>
      <w:r w:rsidRPr="006D3942">
        <w:t>On February 3, 2022, Representative Zoe Lofgren</w:t>
      </w:r>
      <w:r w:rsidR="00A801FD">
        <w:t xml:space="preserve">, a Democrat from </w:t>
      </w:r>
      <w:r w:rsidRPr="006D3942">
        <w:t>California</w:t>
      </w:r>
      <w:r w:rsidR="00A801FD">
        <w:t>,</w:t>
      </w:r>
      <w:r w:rsidR="005320EC" w:rsidRPr="00B053B5">
        <w:rPr>
          <w:rStyle w:val="NoteRefInText"/>
        </w:rPr>
        <w:footnoteReference w:id="10"/>
      </w:r>
      <w:r w:rsidRPr="006D3942">
        <w:t xml:space="preserve"> introduced H</w:t>
      </w:r>
      <w:r w:rsidR="00E20A78">
        <w:t>ouse Bill</w:t>
      </w:r>
      <w:r w:rsidR="00CC365D">
        <w:t xml:space="preserve"> </w:t>
      </w:r>
      <w:r w:rsidRPr="006D3942">
        <w:t xml:space="preserve">6577, the Real Courts, Rule of Law Act of 2022, which would remove the </w:t>
      </w:r>
      <w:r w:rsidR="00CC365D">
        <w:t>i</w:t>
      </w:r>
      <w:r w:rsidRPr="006D3942">
        <w:t xml:space="preserve">mmigration </w:t>
      </w:r>
      <w:r w:rsidR="00CC365D">
        <w:t>c</w:t>
      </w:r>
      <w:r w:rsidRPr="006D3942">
        <w:t xml:space="preserve">ourts from their current home in the Department of Justice (DOJ) and transform them into </w:t>
      </w:r>
      <w:r w:rsidR="005A092E">
        <w:t xml:space="preserve">specialized legislative </w:t>
      </w:r>
      <w:r w:rsidRPr="006D3942">
        <w:t>court</w:t>
      </w:r>
      <w:r w:rsidR="00CC365D">
        <w:t>s</w:t>
      </w:r>
      <w:r w:rsidRPr="006D3942">
        <w:t xml:space="preserve"> established under Article</w:t>
      </w:r>
      <w:r w:rsidR="00C53639">
        <w:t xml:space="preserve"> </w:t>
      </w:r>
      <w:r w:rsidRPr="006D3942">
        <w:t>I of the Constitution.</w:t>
      </w:r>
      <w:bookmarkStart w:id="4" w:name="_Ref177479185"/>
      <w:r w:rsidRPr="006D3942">
        <w:rPr>
          <w:rStyle w:val="NoteRefInText"/>
        </w:rPr>
        <w:footnoteReference w:id="11"/>
      </w:r>
      <w:bookmarkEnd w:id="4"/>
      <w:r w:rsidRPr="006D3942">
        <w:t xml:space="preserve"> The proposal garnered the support of many parties within the legal community</w:t>
      </w:r>
      <w:r w:rsidR="00B85EEB">
        <w:t>,</w:t>
      </w:r>
      <w:r w:rsidRPr="006D3942">
        <w:t xml:space="preserve"> including the American Bar Association (ABA), American Immigration Lawyers Association (AILA), and the Federal Bar Association (FBA), </w:t>
      </w:r>
      <w:r w:rsidR="00B85EEB">
        <w:t xml:space="preserve">as well as </w:t>
      </w:r>
      <w:r w:rsidRPr="006D3942">
        <w:t>numerous immigrant rights advocacy groups and the NAIJ</w:t>
      </w:r>
      <w:r w:rsidR="00CC365D">
        <w:t>,</w:t>
      </w:r>
      <w:r w:rsidR="005320EC" w:rsidRPr="00B053B5">
        <w:rPr>
          <w:rStyle w:val="NoteRefInText"/>
        </w:rPr>
        <w:footnoteReference w:id="12"/>
      </w:r>
      <w:r w:rsidR="0064278A">
        <w:t xml:space="preserve"> </w:t>
      </w:r>
      <w:r w:rsidRPr="006D3942">
        <w:t xml:space="preserve">which had </w:t>
      </w:r>
      <w:r w:rsidR="0064278A">
        <w:t xml:space="preserve">been </w:t>
      </w:r>
      <w:r w:rsidRPr="006D3942">
        <w:t>advocat</w:t>
      </w:r>
      <w:r w:rsidR="0064278A">
        <w:t>ing</w:t>
      </w:r>
      <w:r w:rsidRPr="006D3942">
        <w:t xml:space="preserve"> for this change for over fifteen years</w:t>
      </w:r>
      <w:r w:rsidR="0064278A">
        <w:t>.</w:t>
      </w:r>
      <w:bookmarkStart w:id="5" w:name="_Ref181375938"/>
      <w:r w:rsidRPr="006D3942">
        <w:rPr>
          <w:rStyle w:val="NoteRefInText"/>
        </w:rPr>
        <w:footnoteReference w:id="13"/>
      </w:r>
      <w:bookmarkEnd w:id="5"/>
      <w:r w:rsidRPr="006D3942">
        <w:t xml:space="preserve"> Although the initial 2022 bill failed to advance, Rep</w:t>
      </w:r>
      <w:r w:rsidR="00075952">
        <w:t>resentative</w:t>
      </w:r>
      <w:r w:rsidRPr="006D3942">
        <w:t xml:space="preserve"> Lofgren reintroduced the bill in March of 2024.</w:t>
      </w:r>
      <w:r w:rsidRPr="006D3942">
        <w:rPr>
          <w:rStyle w:val="NoteRefInText"/>
        </w:rPr>
        <w:footnoteReference w:id="14"/>
      </w:r>
      <w:r w:rsidR="00CC365D">
        <w:t xml:space="preserve"> </w:t>
      </w:r>
    </w:p>
    <w:p w14:paraId="63B25121" w14:textId="42B0C52E" w:rsidR="006D3942" w:rsidRPr="006D3942" w:rsidRDefault="006D3942" w:rsidP="00695136">
      <w:pPr>
        <w:pStyle w:val="Document"/>
      </w:pPr>
      <w:r w:rsidRPr="006D3942">
        <w:t xml:space="preserve">Only time will tell how </w:t>
      </w:r>
      <w:r w:rsidR="006148FF">
        <w:t xml:space="preserve">the </w:t>
      </w:r>
      <w:r w:rsidRPr="006D3942">
        <w:t>proposal plays out in Congress, but proposals to create an immigration adjudication system established under Article</w:t>
      </w:r>
      <w:r w:rsidR="00C53639">
        <w:t xml:space="preserve"> </w:t>
      </w:r>
      <w:r w:rsidRPr="006D3942">
        <w:t xml:space="preserve">I of the Constitution are far from novel; calls to turn the </w:t>
      </w:r>
      <w:r w:rsidR="00CC365D">
        <w:t>i</w:t>
      </w:r>
      <w:r w:rsidRPr="006D3942">
        <w:t xml:space="preserve">mmigration </w:t>
      </w:r>
      <w:r w:rsidR="00CC365D">
        <w:t>c</w:t>
      </w:r>
      <w:r w:rsidRPr="006D3942">
        <w:t>ourts into Article</w:t>
      </w:r>
      <w:r w:rsidR="00C53639">
        <w:t xml:space="preserve"> </w:t>
      </w:r>
      <w:r w:rsidRPr="006D3942">
        <w:t xml:space="preserve">I courts have persisted in scholarship and in the immigration professional community </w:t>
      </w:r>
      <w:r w:rsidR="00C039DF">
        <w:t xml:space="preserve">since </w:t>
      </w:r>
      <w:r w:rsidR="005D5D7B">
        <w:t xml:space="preserve">the </w:t>
      </w:r>
      <w:r w:rsidRPr="006D3942">
        <w:t>1980</w:t>
      </w:r>
      <w:r w:rsidR="005D5D7B">
        <w:t>s</w:t>
      </w:r>
      <w:r w:rsidRPr="006D3942">
        <w:t>.</w:t>
      </w:r>
      <w:bookmarkStart w:id="6" w:name="_Ref177479718"/>
      <w:r w:rsidRPr="006D3942">
        <w:rPr>
          <w:rStyle w:val="NoteRefInText"/>
        </w:rPr>
        <w:footnoteReference w:id="15"/>
      </w:r>
      <w:bookmarkEnd w:id="6"/>
      <w:r w:rsidRPr="006D3942">
        <w:t xml:space="preserve"> Moreover, this proposal has garnered support from an unlikely array of actors, including lawyers, advocates, scholars, judges, and congressional representatives.</w:t>
      </w:r>
      <w:r w:rsidRPr="006D3942">
        <w:rPr>
          <w:rStyle w:val="NoteRefInText"/>
        </w:rPr>
        <w:footnoteReference w:id="16"/>
      </w:r>
      <w:r w:rsidRPr="006D3942">
        <w:t xml:space="preserve"> Rarely in the world of immigration law and policy is there </w:t>
      </w:r>
      <w:r w:rsidR="00BB116C">
        <w:t xml:space="preserve">any modicum of </w:t>
      </w:r>
      <w:r w:rsidRPr="006D3942">
        <w:t>agreement on a specific policy plan for reform that stretches back over decades. So</w:t>
      </w:r>
      <w:r w:rsidR="00B85EEB">
        <w:t>,</w:t>
      </w:r>
      <w:r w:rsidRPr="006D3942">
        <w:t xml:space="preserve"> then</w:t>
      </w:r>
      <w:r w:rsidR="00B85EEB">
        <w:t>,</w:t>
      </w:r>
      <w:r w:rsidRPr="006D3942">
        <w:t xml:space="preserve"> why has this proposal to vest judicial decisionmaking of immigration law into a court under Article</w:t>
      </w:r>
      <w:r w:rsidR="00C53639">
        <w:t xml:space="preserve"> </w:t>
      </w:r>
      <w:r w:rsidRPr="006D3942">
        <w:t xml:space="preserve">I failed to materialize despite </w:t>
      </w:r>
      <w:r w:rsidR="00B85EEB">
        <w:t xml:space="preserve">such </w:t>
      </w:r>
      <w:r w:rsidRPr="006D3942">
        <w:t>enduring support?</w:t>
      </w:r>
    </w:p>
    <w:p w14:paraId="278D2479" w14:textId="4D9E2131" w:rsidR="006D3942" w:rsidRPr="006D3942" w:rsidRDefault="006832F2" w:rsidP="00695136">
      <w:pPr>
        <w:pStyle w:val="Document"/>
      </w:pPr>
      <w:r>
        <w:lastRenderedPageBreak/>
        <w:t>T</w:t>
      </w:r>
      <w:r w:rsidR="006D3942" w:rsidRPr="006D3942">
        <w:t>his Note</w:t>
      </w:r>
      <w:r>
        <w:t xml:space="preserve"> </w:t>
      </w:r>
      <w:r w:rsidR="006D3942" w:rsidRPr="006D3942">
        <w:t>explore</w:t>
      </w:r>
      <w:r>
        <w:t>s</w:t>
      </w:r>
      <w:r w:rsidR="006D3942" w:rsidRPr="006D3942">
        <w:t xml:space="preserve"> the answer to th</w:t>
      </w:r>
      <w:r w:rsidR="00B85EEB">
        <w:t>at</w:t>
      </w:r>
      <w:r w:rsidR="006D3942" w:rsidRPr="006D3942">
        <w:t xml:space="preserve"> question by contrasting the development</w:t>
      </w:r>
      <w:r w:rsidR="00860566">
        <w:t xml:space="preserve"> of a </w:t>
      </w:r>
      <w:r w:rsidR="00910297">
        <w:t>specialized</w:t>
      </w:r>
      <w:r w:rsidR="00860566">
        <w:t xml:space="preserve"> bankruptcy court system</w:t>
      </w:r>
      <w:r w:rsidR="00E86C05">
        <w:t>—</w:t>
      </w:r>
      <w:r w:rsidR="00860566">
        <w:t xml:space="preserve">focusing </w:t>
      </w:r>
      <w:r w:rsidR="004C7243">
        <w:t>pr</w:t>
      </w:r>
      <w:r w:rsidR="00553D01">
        <w:t>incipally</w:t>
      </w:r>
      <w:r w:rsidR="00AA5F6E">
        <w:t xml:space="preserve"> </w:t>
      </w:r>
      <w:r w:rsidR="00CF4933">
        <w:t xml:space="preserve">on efforts to enact </w:t>
      </w:r>
      <w:r w:rsidR="006D3942" w:rsidRPr="006D3942">
        <w:t>the Bankruptcy Reform Act of 1978</w:t>
      </w:r>
      <w:r w:rsidR="00F0757D">
        <w:t>,</w:t>
      </w:r>
      <w:r w:rsidR="006D3942" w:rsidRPr="006D3942">
        <w:t xml:space="preserve"> which </w:t>
      </w:r>
      <w:r w:rsidR="00AA5F6E">
        <w:t xml:space="preserve">began the process of developing </w:t>
      </w:r>
      <w:r w:rsidR="006D3942" w:rsidRPr="006D3942">
        <w:t>independent bankruptcy court</w:t>
      </w:r>
      <w:r w:rsidR="00D70978">
        <w:t>s</w:t>
      </w:r>
      <w:r w:rsidR="006D3942" w:rsidRPr="006D3942">
        <w:t xml:space="preserve"> under Article</w:t>
      </w:r>
      <w:r w:rsidR="00C53639">
        <w:t xml:space="preserve"> </w:t>
      </w:r>
      <w:r w:rsidR="006D3942" w:rsidRPr="006D3942">
        <w:t>I of the Constitution</w:t>
      </w:r>
      <w:bookmarkStart w:id="7" w:name="_Ref181456302"/>
      <w:r w:rsidR="006D3942" w:rsidRPr="006D3942">
        <w:rPr>
          <w:rStyle w:val="NoteRefInText"/>
        </w:rPr>
        <w:footnoteReference w:id="17"/>
      </w:r>
      <w:bookmarkEnd w:id="7"/>
      <w:r w:rsidR="00E86C05">
        <w:t>—</w:t>
      </w:r>
      <w:r w:rsidR="004F43E6" w:rsidRPr="004F43E6">
        <w:t xml:space="preserve">with </w:t>
      </w:r>
      <w:r w:rsidR="002140B1">
        <w:t>efforts</w:t>
      </w:r>
      <w:r w:rsidR="004F43E6" w:rsidRPr="004F43E6">
        <w:t xml:space="preserve"> to create an immigration court system under Article</w:t>
      </w:r>
      <w:r w:rsidR="00C53639">
        <w:t xml:space="preserve"> </w:t>
      </w:r>
      <w:r w:rsidR="004F43E6" w:rsidRPr="004F43E6">
        <w:t>I.</w:t>
      </w:r>
      <w:r w:rsidR="006D3942" w:rsidRPr="006D3942">
        <w:t xml:space="preserve"> </w:t>
      </w:r>
      <w:r w:rsidR="00663B87">
        <w:t xml:space="preserve">It </w:t>
      </w:r>
      <w:r w:rsidR="006D3942" w:rsidRPr="006D3942">
        <w:t>analyze</w:t>
      </w:r>
      <w:r w:rsidR="00663B87">
        <w:t>s</w:t>
      </w:r>
      <w:r w:rsidR="006D3942" w:rsidRPr="006D3942">
        <w:t xml:space="preserve"> the legislative history of the Bankruptcy Reform Act of 1978 </w:t>
      </w:r>
      <w:r w:rsidR="003776AE" w:rsidRPr="006D3942">
        <w:t>to</w:t>
      </w:r>
      <w:r w:rsidR="006D3942" w:rsidRPr="006D3942">
        <w:t xml:space="preserve"> determine how the compromise</w:t>
      </w:r>
      <w:r w:rsidR="00D70978">
        <w:t>s</w:t>
      </w:r>
      <w:r w:rsidR="006D3942" w:rsidRPr="006D3942">
        <w:t xml:space="preserve"> to create an Article</w:t>
      </w:r>
      <w:r w:rsidR="00C53639">
        <w:t xml:space="preserve"> </w:t>
      </w:r>
      <w:r w:rsidR="006D3942" w:rsidRPr="006D3942">
        <w:t xml:space="preserve">I bankruptcy court </w:t>
      </w:r>
      <w:r w:rsidR="00D70978">
        <w:t>were</w:t>
      </w:r>
      <w:r w:rsidR="00D70978" w:rsidRPr="006D3942">
        <w:t xml:space="preserve"> </w:t>
      </w:r>
      <w:r w:rsidR="006D3942" w:rsidRPr="006D3942">
        <w:t>achieved</w:t>
      </w:r>
      <w:r w:rsidR="004662D6">
        <w:t xml:space="preserve"> through </w:t>
      </w:r>
      <w:r w:rsidR="00D85574">
        <w:t xml:space="preserve">concerted </w:t>
      </w:r>
      <w:r w:rsidR="004662D6">
        <w:t xml:space="preserve">efforts to strip power from the </w:t>
      </w:r>
      <w:r w:rsidR="003355D6">
        <w:t>Judicial Branch.</w:t>
      </w:r>
      <w:r w:rsidR="006D3942" w:rsidRPr="006D3942">
        <w:t xml:space="preserve"> Ultimately,</w:t>
      </w:r>
      <w:r w:rsidR="00663B87">
        <w:t xml:space="preserve"> this Note</w:t>
      </w:r>
      <w:r w:rsidR="0070101A">
        <w:t xml:space="preserve"> </w:t>
      </w:r>
      <w:r w:rsidR="006D3942" w:rsidRPr="006D3942">
        <w:t>conclude</w:t>
      </w:r>
      <w:r w:rsidR="0070101A">
        <w:t>s</w:t>
      </w:r>
      <w:r w:rsidR="006D3942" w:rsidRPr="006D3942">
        <w:t xml:space="preserve"> that </w:t>
      </w:r>
      <w:r w:rsidR="003355D6">
        <w:t xml:space="preserve">one root cause of </w:t>
      </w:r>
      <w:r w:rsidR="00E86C05">
        <w:t xml:space="preserve">the </w:t>
      </w:r>
      <w:r w:rsidR="006D3942" w:rsidRPr="006D3942">
        <w:t xml:space="preserve">failure to create an independent </w:t>
      </w:r>
      <w:r w:rsidR="00CC365D">
        <w:t>i</w:t>
      </w:r>
      <w:r w:rsidR="006D3942" w:rsidRPr="006D3942">
        <w:t xml:space="preserve">mmigration </w:t>
      </w:r>
      <w:r w:rsidR="00CC365D">
        <w:t>c</w:t>
      </w:r>
      <w:r w:rsidR="006D3942" w:rsidRPr="006D3942">
        <w:t xml:space="preserve">ourt lies in </w:t>
      </w:r>
      <w:r w:rsidR="00E86C05">
        <w:t>the</w:t>
      </w:r>
      <w:r w:rsidR="00D70978">
        <w:t xml:space="preserve"> failure to recognize </w:t>
      </w:r>
      <w:r w:rsidR="008E131A">
        <w:t xml:space="preserve">the need for </w:t>
      </w:r>
      <w:r w:rsidR="005C5C7A">
        <w:t>deliberate</w:t>
      </w:r>
      <w:r w:rsidR="008E131A">
        <w:t xml:space="preserve"> </w:t>
      </w:r>
      <w:r w:rsidR="006D3942" w:rsidRPr="006D3942">
        <w:t xml:space="preserve">action </w:t>
      </w:r>
      <w:r w:rsidR="008E131A">
        <w:t>on the part of the</w:t>
      </w:r>
      <w:r w:rsidR="008E131A" w:rsidRPr="006D3942">
        <w:t xml:space="preserve"> </w:t>
      </w:r>
      <w:r w:rsidR="00CC365D">
        <w:t>L</w:t>
      </w:r>
      <w:r w:rsidR="006D3942" w:rsidRPr="006D3942">
        <w:t xml:space="preserve">egislative and </w:t>
      </w:r>
      <w:r w:rsidR="00CC365D">
        <w:t>J</w:t>
      </w:r>
      <w:r w:rsidR="006D3942" w:rsidRPr="006D3942">
        <w:t xml:space="preserve">udicial </w:t>
      </w:r>
      <w:r w:rsidR="00CC365D">
        <w:t>B</w:t>
      </w:r>
      <w:r w:rsidR="006D3942" w:rsidRPr="006D3942">
        <w:t xml:space="preserve">ranches to strip the </w:t>
      </w:r>
      <w:r w:rsidR="00CC365D">
        <w:t>E</w:t>
      </w:r>
      <w:r w:rsidR="006D3942" w:rsidRPr="006D3942">
        <w:t xml:space="preserve">xecutive </w:t>
      </w:r>
      <w:r w:rsidR="00CC365D">
        <w:t>B</w:t>
      </w:r>
      <w:r w:rsidR="006D3942" w:rsidRPr="006D3942">
        <w:t xml:space="preserve">ranch of its comprehensive control over the current </w:t>
      </w:r>
      <w:r w:rsidR="00CC365D">
        <w:t>i</w:t>
      </w:r>
      <w:r w:rsidR="006D3942" w:rsidRPr="006D3942">
        <w:t xml:space="preserve">mmigration </w:t>
      </w:r>
      <w:r w:rsidR="00CC365D">
        <w:t>c</w:t>
      </w:r>
      <w:r w:rsidR="006D3942" w:rsidRPr="006D3942">
        <w:t xml:space="preserve">ourts. Taking lessons from the bankruptcy context, </w:t>
      </w:r>
      <w:r w:rsidR="00907E9A">
        <w:t>t</w:t>
      </w:r>
      <w:r w:rsidR="006148FF">
        <w:t xml:space="preserve">his Note </w:t>
      </w:r>
      <w:r w:rsidR="008E131A">
        <w:t xml:space="preserve">thus </w:t>
      </w:r>
      <w:r w:rsidR="006D3942" w:rsidRPr="006D3942">
        <w:t>suggest</w:t>
      </w:r>
      <w:r w:rsidR="00D26A17">
        <w:t>s</w:t>
      </w:r>
      <w:r w:rsidR="006D3942" w:rsidRPr="006D3942">
        <w:t xml:space="preserve"> shifting </w:t>
      </w:r>
      <w:r w:rsidR="009B616F">
        <w:t>the</w:t>
      </w:r>
      <w:r w:rsidR="006D3942" w:rsidRPr="006D3942">
        <w:t xml:space="preserve"> narrative focus of proposals to create independent immigration court</w:t>
      </w:r>
      <w:r w:rsidR="00E86C05">
        <w:t xml:space="preserve">s </w:t>
      </w:r>
      <w:r w:rsidR="006D3942" w:rsidRPr="006D3942">
        <w:t xml:space="preserve">by </w:t>
      </w:r>
      <w:r w:rsidR="008E131A">
        <w:t>placing increased emphasis on</w:t>
      </w:r>
      <w:r w:rsidR="006D3942" w:rsidRPr="006D3942">
        <w:t xml:space="preserve"> the separation</w:t>
      </w:r>
      <w:r w:rsidR="00FF6F0F">
        <w:t>-</w:t>
      </w:r>
      <w:r w:rsidR="006D3942" w:rsidRPr="006D3942">
        <w:t>of</w:t>
      </w:r>
      <w:r w:rsidR="00FF6F0F">
        <w:t>-</w:t>
      </w:r>
      <w:r w:rsidR="006D3942" w:rsidRPr="006D3942">
        <w:t xml:space="preserve">powers concern present in the current system. </w:t>
      </w:r>
      <w:r w:rsidR="006148FF">
        <w:t>This Note</w:t>
      </w:r>
      <w:r w:rsidR="006D3942" w:rsidRPr="006D3942">
        <w:t xml:space="preserve"> recommend</w:t>
      </w:r>
      <w:r w:rsidR="006148FF">
        <w:t>s</w:t>
      </w:r>
      <w:r w:rsidR="006D3942" w:rsidRPr="006D3942">
        <w:t xml:space="preserve"> moving towards a political and legal narrative for court reform that </w:t>
      </w:r>
      <w:r w:rsidR="009B616F">
        <w:t xml:space="preserve">encourages </w:t>
      </w:r>
      <w:r w:rsidR="006D3942" w:rsidRPr="006D3942">
        <w:t xml:space="preserve">increased oversight of immigration law and policy by the </w:t>
      </w:r>
      <w:r w:rsidR="00CC365D">
        <w:t>L</w:t>
      </w:r>
      <w:r w:rsidR="006D3942" w:rsidRPr="006D3942">
        <w:t xml:space="preserve">egislative </w:t>
      </w:r>
      <w:r w:rsidR="00CC365D">
        <w:t>B</w:t>
      </w:r>
      <w:r w:rsidR="006D3942" w:rsidRPr="006D3942">
        <w:t xml:space="preserve">ranch </w:t>
      </w:r>
      <w:r w:rsidR="00220827">
        <w:t xml:space="preserve">and the Judiciary </w:t>
      </w:r>
      <w:proofErr w:type="gramStart"/>
      <w:r w:rsidR="00220827">
        <w:t>a</w:t>
      </w:r>
      <w:r w:rsidR="006D3942" w:rsidRPr="006D3942">
        <w:t>s a way to</w:t>
      </w:r>
      <w:proofErr w:type="gramEnd"/>
      <w:r w:rsidR="006D3942" w:rsidRPr="006D3942">
        <w:t xml:space="preserve"> maintain a proper governmental separation of powers</w:t>
      </w:r>
      <w:r w:rsidR="00867C64">
        <w:t>.</w:t>
      </w:r>
      <w:r w:rsidR="00390106">
        <w:t xml:space="preserve"> Finally</w:t>
      </w:r>
      <w:r w:rsidR="00867C64">
        <w:t>,</w:t>
      </w:r>
      <w:r w:rsidR="00187C4D">
        <w:t xml:space="preserve"> </w:t>
      </w:r>
      <w:r w:rsidR="00907E9A">
        <w:t>this Note</w:t>
      </w:r>
      <w:r w:rsidR="006662FC">
        <w:t xml:space="preserve"> posit</w:t>
      </w:r>
      <w:r w:rsidR="00907E9A">
        <w:t>s</w:t>
      </w:r>
      <w:r w:rsidR="006662FC">
        <w:t xml:space="preserve"> that </w:t>
      </w:r>
      <w:r w:rsidR="00187C4D">
        <w:t>making this shift will</w:t>
      </w:r>
      <w:r w:rsidR="00F723AE">
        <w:t xml:space="preserve"> aid in efforts to reform the immigration court system </w:t>
      </w:r>
      <w:r w:rsidR="006662FC">
        <w:t>by</w:t>
      </w:r>
      <w:r w:rsidR="00F723AE">
        <w:t xml:space="preserve"> </w:t>
      </w:r>
      <w:r w:rsidR="00390106">
        <w:t xml:space="preserve">ultimately </w:t>
      </w:r>
      <w:r w:rsidR="00F723AE">
        <w:t xml:space="preserve">increasing judicial independence. </w:t>
      </w:r>
    </w:p>
    <w:p w14:paraId="6CBCF02D" w14:textId="55F301C6" w:rsidR="006D3942" w:rsidRPr="006D3942" w:rsidRDefault="006D3942" w:rsidP="00695136">
      <w:pPr>
        <w:pStyle w:val="Document"/>
        <w:rPr>
          <w:b/>
        </w:rPr>
      </w:pPr>
      <w:r w:rsidRPr="006D3942">
        <w:t xml:space="preserve">In Part I, this Note discusses the structure of the current </w:t>
      </w:r>
      <w:r w:rsidR="00CC365D">
        <w:t>i</w:t>
      </w:r>
      <w:r w:rsidRPr="006D3942">
        <w:t xml:space="preserve">mmigration </w:t>
      </w:r>
      <w:r w:rsidR="00CC365D">
        <w:t>c</w:t>
      </w:r>
      <w:r w:rsidRPr="006D3942">
        <w:t>ourts</w:t>
      </w:r>
      <w:r w:rsidR="00E86C05">
        <w:t xml:space="preserve">, </w:t>
      </w:r>
      <w:r w:rsidR="00474CA2">
        <w:t>identif</w:t>
      </w:r>
      <w:r w:rsidR="00E86C05">
        <w:t>ying</w:t>
      </w:r>
      <w:r w:rsidR="00474CA2">
        <w:t xml:space="preserve"> </w:t>
      </w:r>
      <w:r w:rsidRPr="006D3942">
        <w:t>the problems inherent in that structure for judicial independence, fundamental fairness, and due process</w:t>
      </w:r>
      <w:r w:rsidR="00E86C05">
        <w:t xml:space="preserve">, </w:t>
      </w:r>
      <w:r w:rsidRPr="006D3942">
        <w:t xml:space="preserve">which have arisen due to the outsized control exerted by the </w:t>
      </w:r>
      <w:r w:rsidR="00CC365D">
        <w:t>E</w:t>
      </w:r>
      <w:r w:rsidRPr="006D3942">
        <w:t xml:space="preserve">xecutive </w:t>
      </w:r>
      <w:r w:rsidR="00CC365D">
        <w:t>B</w:t>
      </w:r>
      <w:r w:rsidRPr="006D3942">
        <w:t xml:space="preserve">ranch. Part II reviews the proposed solution to turn </w:t>
      </w:r>
      <w:r w:rsidR="00CC365D">
        <w:t>i</w:t>
      </w:r>
      <w:r w:rsidRPr="006D3942">
        <w:t xml:space="preserve">mmigration </w:t>
      </w:r>
      <w:r w:rsidR="00CC365D">
        <w:t>c</w:t>
      </w:r>
      <w:r w:rsidRPr="006D3942">
        <w:t>ourts into Article</w:t>
      </w:r>
      <w:r w:rsidR="00C53639">
        <w:t xml:space="preserve"> </w:t>
      </w:r>
      <w:r w:rsidRPr="006D3942">
        <w:t xml:space="preserve">I </w:t>
      </w:r>
      <w:r w:rsidR="00663B87" w:rsidRPr="006D3942">
        <w:t>courts</w:t>
      </w:r>
      <w:r w:rsidR="00E86C05">
        <w:t xml:space="preserve"> and </w:t>
      </w:r>
      <w:r w:rsidRPr="006D3942">
        <w:t>the potential benefits created by such a change</w:t>
      </w:r>
      <w:r w:rsidR="00187C4D">
        <w:t xml:space="preserve">, </w:t>
      </w:r>
      <w:r w:rsidR="00474CA2">
        <w:t xml:space="preserve">while also </w:t>
      </w:r>
      <w:r w:rsidR="008D637E">
        <w:t>addressing additional proposals</w:t>
      </w:r>
      <w:r w:rsidR="00A710D6">
        <w:t xml:space="preserve"> and concerns</w:t>
      </w:r>
      <w:r w:rsidRPr="006D3942">
        <w:t xml:space="preserve">. Then, Part III addresses the tactics for turning </w:t>
      </w:r>
      <w:r w:rsidR="00CC365D">
        <w:t>i</w:t>
      </w:r>
      <w:r w:rsidRPr="006D3942">
        <w:t xml:space="preserve">mmigration </w:t>
      </w:r>
      <w:r w:rsidR="00CC365D">
        <w:t>c</w:t>
      </w:r>
      <w:r w:rsidRPr="006D3942">
        <w:t>ourts into Article</w:t>
      </w:r>
      <w:r w:rsidR="00C53639">
        <w:t xml:space="preserve"> </w:t>
      </w:r>
      <w:r w:rsidRPr="006D3942">
        <w:t>I courts</w:t>
      </w:r>
      <w:r w:rsidR="00474CA2">
        <w:t xml:space="preserve">, </w:t>
      </w:r>
      <w:r w:rsidRPr="006D3942">
        <w:t xml:space="preserve">contrasting the current struggle to reform the </w:t>
      </w:r>
      <w:r w:rsidR="00CC365D">
        <w:t>i</w:t>
      </w:r>
      <w:r w:rsidRPr="006D3942">
        <w:t xml:space="preserve">mmigration </w:t>
      </w:r>
      <w:r w:rsidR="00CC365D">
        <w:t>c</w:t>
      </w:r>
      <w:r w:rsidRPr="006D3942">
        <w:t>ourts with the creation of an Article</w:t>
      </w:r>
      <w:r w:rsidR="00C53639">
        <w:t xml:space="preserve"> </w:t>
      </w:r>
      <w:r w:rsidRPr="006D3942">
        <w:t>I bankruptcy court through the lens of checks and balances on the separation of powers.</w:t>
      </w:r>
      <w:r w:rsidR="00935E54">
        <w:t xml:space="preserve"> </w:t>
      </w:r>
      <w:r w:rsidRPr="006D3942">
        <w:t xml:space="preserve">Finally, </w:t>
      </w:r>
      <w:r w:rsidR="004F43E6">
        <w:t xml:space="preserve">based on this comparative analysis, </w:t>
      </w:r>
      <w:r w:rsidRPr="006D3942">
        <w:t xml:space="preserve">Part IV offers several limited proposals to shift the narrative of reform away from </w:t>
      </w:r>
      <w:r w:rsidR="00E86C05">
        <w:t xml:space="preserve">one </w:t>
      </w:r>
      <w:r w:rsidRPr="006D3942">
        <w:t>based solely on judicial independence and towards one rooted in increased oversight by Congress</w:t>
      </w:r>
      <w:r w:rsidR="00184490">
        <w:t xml:space="preserve"> and the Judiciary. </w:t>
      </w:r>
    </w:p>
    <w:p w14:paraId="2756CD5C" w14:textId="2172C33D" w:rsidR="006D3942" w:rsidRPr="006D3942" w:rsidRDefault="00F768DA" w:rsidP="00695136">
      <w:pPr>
        <w:pStyle w:val="Head1"/>
      </w:pPr>
      <w:bookmarkStart w:id="8" w:name="_Toc173015242"/>
      <w:bookmarkStart w:id="9" w:name="_Toc191465190"/>
      <w:r>
        <w:t>I.</w:t>
      </w:r>
      <w:r>
        <w:tab/>
      </w:r>
      <w:r w:rsidR="006D3942" w:rsidRPr="006D3942">
        <w:t xml:space="preserve">Structure of Immigration Courts </w:t>
      </w:r>
      <w:r>
        <w:t xml:space="preserve">and Consequences </w:t>
      </w:r>
      <w:r w:rsidR="006D3942" w:rsidRPr="006D3942">
        <w:t xml:space="preserve">of Executive </w:t>
      </w:r>
      <w:r w:rsidR="006D3942" w:rsidRPr="006D3942">
        <w:lastRenderedPageBreak/>
        <w:t>Control</w:t>
      </w:r>
      <w:bookmarkEnd w:id="8"/>
      <w:bookmarkEnd w:id="9"/>
    </w:p>
    <w:p w14:paraId="2A1954E9" w14:textId="65D7BDB6" w:rsidR="006D3942" w:rsidRPr="006D3942" w:rsidRDefault="006D3942" w:rsidP="00695136">
      <w:pPr>
        <w:pStyle w:val="Document"/>
      </w:pPr>
      <w:r w:rsidRPr="006D3942">
        <w:t>U.S. immigration adjudication has never functioned with an independent judicial arm since the inception of federal immigration enforcement in the late 1800s.</w:t>
      </w:r>
      <w:bookmarkStart w:id="10" w:name="_Ref177479220"/>
      <w:r w:rsidRPr="006D3942">
        <w:rPr>
          <w:rStyle w:val="NoteRefInText"/>
        </w:rPr>
        <w:footnoteReference w:id="18"/>
      </w:r>
      <w:bookmarkEnd w:id="10"/>
      <w:r w:rsidRPr="006D3942">
        <w:t xml:space="preserve"> Instead, it has been subsumed under an administrative agency controlled by the </w:t>
      </w:r>
      <w:r w:rsidR="002D730A">
        <w:t>E</w:t>
      </w:r>
      <w:r w:rsidRPr="006D3942">
        <w:t xml:space="preserve">xecutive </w:t>
      </w:r>
      <w:r w:rsidR="002D730A">
        <w:t>B</w:t>
      </w:r>
      <w:r w:rsidRPr="006D3942">
        <w:t>ranch.</w:t>
      </w:r>
      <w:r w:rsidRPr="006D3942">
        <w:rPr>
          <w:rStyle w:val="NoteRefInText"/>
        </w:rPr>
        <w:footnoteReference w:id="19"/>
      </w:r>
      <w:r w:rsidRPr="006D3942">
        <w:t xml:space="preserve"> Traditionally, the judiciary has viewed immigration as a policy matter for the political branches.</w:t>
      </w:r>
      <w:r w:rsidRPr="006D3942">
        <w:rPr>
          <w:rStyle w:val="NoteRefInText"/>
        </w:rPr>
        <w:footnoteReference w:id="20"/>
      </w:r>
      <w:r w:rsidRPr="006D3942">
        <w:t xml:space="preserve"> However, with the development of a more complex statutory legal schema and robust processes for deportation, the Supreme Court has recognized that deportation is “</w:t>
      </w:r>
      <w:r w:rsidRPr="006D3942">
        <w:rPr>
          <w:shd w:val="clear" w:color="auto" w:fill="FFFFFF"/>
        </w:rPr>
        <w:t xml:space="preserve">a drastic measure . . . at times the equivalent of banishment” that </w:t>
      </w:r>
      <w:r w:rsidRPr="006D3942">
        <w:t>implicates fundamental due process concerns.</w:t>
      </w:r>
      <w:r w:rsidRPr="006D3942">
        <w:rPr>
          <w:rStyle w:val="NoteRefInText"/>
        </w:rPr>
        <w:footnoteReference w:id="21"/>
      </w:r>
      <w:r w:rsidRPr="006D3942">
        <w:t xml:space="preserve"> Despite increasing recognition of the </w:t>
      </w:r>
      <w:r w:rsidR="002D730A">
        <w:t xml:space="preserve">constitutional </w:t>
      </w:r>
      <w:r w:rsidRPr="006D3942">
        <w:t xml:space="preserve">stakes of deportation, the </w:t>
      </w:r>
      <w:r w:rsidR="002D730A">
        <w:t>i</w:t>
      </w:r>
      <w:r w:rsidRPr="006D3942">
        <w:t xml:space="preserve">mmigration </w:t>
      </w:r>
      <w:r w:rsidR="002D730A">
        <w:t>c</w:t>
      </w:r>
      <w:r w:rsidRPr="006D3942">
        <w:t xml:space="preserve">ourts and </w:t>
      </w:r>
      <w:r w:rsidR="002D730A">
        <w:t>i</w:t>
      </w:r>
      <w:r w:rsidRPr="006D3942">
        <w:t xml:space="preserve">mmigration </w:t>
      </w:r>
      <w:r w:rsidR="002D730A">
        <w:t>j</w:t>
      </w:r>
      <w:r w:rsidRPr="006D3942">
        <w:t>udges sit within the DOJ, a law enforcement agency.</w:t>
      </w:r>
      <w:bookmarkStart w:id="11" w:name="_Ref177479515"/>
      <w:r w:rsidRPr="006D3942">
        <w:rPr>
          <w:rStyle w:val="NoteRefInText"/>
        </w:rPr>
        <w:footnoteReference w:id="22"/>
      </w:r>
      <w:bookmarkEnd w:id="11"/>
      <w:r w:rsidRPr="006D3942">
        <w:t xml:space="preserve"> The general public appears to possess little awareness of the functioning of </w:t>
      </w:r>
      <w:r w:rsidR="002D730A">
        <w:t>i</w:t>
      </w:r>
      <w:r w:rsidRPr="006D3942">
        <w:t xml:space="preserve">mmigration </w:t>
      </w:r>
      <w:r w:rsidR="002D730A">
        <w:t>c</w:t>
      </w:r>
      <w:r w:rsidRPr="006D3942">
        <w:t xml:space="preserve">ourts and the ways in which they diverge </w:t>
      </w:r>
      <w:r w:rsidR="00E86C05">
        <w:t xml:space="preserve">substantially </w:t>
      </w:r>
      <w:r w:rsidRPr="006D3942">
        <w:t>from Article</w:t>
      </w:r>
      <w:r w:rsidR="00871D70">
        <w:t xml:space="preserve"> </w:t>
      </w:r>
      <w:r w:rsidRPr="006D3942">
        <w:t>III federal courts.</w:t>
      </w:r>
      <w:bookmarkStart w:id="12" w:name="_Ref177479292"/>
      <w:r w:rsidRPr="006D3942">
        <w:rPr>
          <w:rStyle w:val="NoteRefInText"/>
        </w:rPr>
        <w:footnoteReference w:id="23"/>
      </w:r>
      <w:bookmarkEnd w:id="12"/>
      <w:r w:rsidRPr="006D3942">
        <w:t xml:space="preserve"> Unique features of the </w:t>
      </w:r>
      <w:r w:rsidR="002D730A">
        <w:t>i</w:t>
      </w:r>
      <w:r w:rsidRPr="006D3942">
        <w:t xml:space="preserve">mmigration </w:t>
      </w:r>
      <w:r w:rsidR="002D730A">
        <w:t>c</w:t>
      </w:r>
      <w:r w:rsidRPr="006D3942">
        <w:t xml:space="preserve">ourts create a lack of decisional independence that is inherent in the system’s structure due to the ability of the </w:t>
      </w:r>
      <w:r w:rsidR="002D730A">
        <w:t>E</w:t>
      </w:r>
      <w:r w:rsidRPr="006D3942">
        <w:t xml:space="preserve">xecutive </w:t>
      </w:r>
      <w:r w:rsidR="002D730A">
        <w:t>B</w:t>
      </w:r>
      <w:r w:rsidRPr="006D3942">
        <w:t>ranch, through the Attorney General, to substantively alter the law and adjudication procedures in a variety of ways.</w:t>
      </w:r>
      <w:r w:rsidRPr="006D3942">
        <w:rPr>
          <w:rStyle w:val="NoteRefInText"/>
        </w:rPr>
        <w:footnoteReference w:id="24"/>
      </w:r>
    </w:p>
    <w:p w14:paraId="4F8DB504" w14:textId="719D39F5" w:rsidR="006D3942" w:rsidRPr="006D3942" w:rsidRDefault="006D3942" w:rsidP="00695136">
      <w:pPr>
        <w:pStyle w:val="Head2"/>
      </w:pPr>
      <w:bookmarkStart w:id="13" w:name="_Toc173015243"/>
      <w:bookmarkStart w:id="14" w:name="_Toc191465191"/>
      <w:r w:rsidRPr="006D3942">
        <w:t>A.</w:t>
      </w:r>
      <w:r w:rsidR="00900850">
        <w:tab/>
      </w:r>
      <w:r w:rsidRPr="006D3942">
        <w:t>Brief Structural Overview of Immigration Courts</w:t>
      </w:r>
      <w:bookmarkEnd w:id="13"/>
      <w:bookmarkEnd w:id="14"/>
    </w:p>
    <w:p w14:paraId="3324D737" w14:textId="2E76233A" w:rsidR="005C4C03" w:rsidRDefault="006D3942" w:rsidP="00695136">
      <w:pPr>
        <w:pStyle w:val="Document"/>
      </w:pPr>
      <w:r w:rsidRPr="006D3942">
        <w:t xml:space="preserve">Before addressing the problems that arise from the outsized role of the </w:t>
      </w:r>
      <w:r w:rsidR="002D730A">
        <w:t>E</w:t>
      </w:r>
      <w:r w:rsidRPr="006D3942">
        <w:t xml:space="preserve">xecutive </w:t>
      </w:r>
      <w:r w:rsidR="002D730A">
        <w:t>B</w:t>
      </w:r>
      <w:r w:rsidRPr="006D3942">
        <w:t xml:space="preserve">ranch in immigration adjudication, this Note provides an abbreviated overview of the relevant structural features of the courts that allow </w:t>
      </w:r>
      <w:r w:rsidR="00E86C05">
        <w:t>exercise of that control</w:t>
      </w:r>
      <w:r w:rsidRPr="006D3942">
        <w:t xml:space="preserve">. These structural features are the product of </w:t>
      </w:r>
      <w:r w:rsidRPr="006D3942">
        <w:lastRenderedPageBreak/>
        <w:t xml:space="preserve">multiple historical shuffles and reassignments within the </w:t>
      </w:r>
      <w:r w:rsidR="002D730A">
        <w:t>E</w:t>
      </w:r>
      <w:r w:rsidRPr="006D3942">
        <w:t xml:space="preserve">xecutive </w:t>
      </w:r>
      <w:r w:rsidR="002D730A">
        <w:t>B</w:t>
      </w:r>
      <w:r w:rsidRPr="006D3942">
        <w:t>ranch throughout the twentieth century</w:t>
      </w:r>
      <w:r w:rsidR="005C4C03">
        <w:t>.</w:t>
      </w:r>
    </w:p>
    <w:p w14:paraId="237145DD" w14:textId="40EF7018" w:rsidR="006D3942" w:rsidRPr="006D3942" w:rsidRDefault="00E2487D" w:rsidP="00695136">
      <w:pPr>
        <w:pStyle w:val="Document"/>
      </w:pPr>
      <w:r>
        <w:t>The story begins</w:t>
      </w:r>
      <w:r w:rsidR="00E86C05">
        <w:t>—</w:t>
      </w:r>
      <w:r>
        <w:t>for the purposes of this Note</w:t>
      </w:r>
      <w:r w:rsidR="00E86C05">
        <w:t>—</w:t>
      </w:r>
      <w:r>
        <w:t xml:space="preserve">with </w:t>
      </w:r>
      <w:r w:rsidR="006D3942" w:rsidRPr="006D3942">
        <w:t>the creation of the Executive Office for Immigration Review (EOIR) by regulation of the Attorney General in 1983.</w:t>
      </w:r>
      <w:r w:rsidR="006D3942" w:rsidRPr="006D3942">
        <w:rPr>
          <w:rStyle w:val="NoteRefInText"/>
        </w:rPr>
        <w:footnoteReference w:id="25"/>
      </w:r>
      <w:r w:rsidR="006D3942" w:rsidRPr="006D3942">
        <w:t xml:space="preserve"> EOIR is </w:t>
      </w:r>
      <w:r w:rsidR="00004AF2">
        <w:t>an</w:t>
      </w:r>
      <w:r w:rsidR="00004AF2" w:rsidRPr="006D3942">
        <w:t xml:space="preserve"> </w:t>
      </w:r>
      <w:r w:rsidR="006D3942" w:rsidRPr="006D3942">
        <w:t>agency</w:t>
      </w:r>
      <w:r w:rsidR="00F47D2A">
        <w:t xml:space="preserve"> under </w:t>
      </w:r>
      <w:r w:rsidR="00BD6556">
        <w:t xml:space="preserve">DOJ </w:t>
      </w:r>
      <w:r w:rsidR="006D3942" w:rsidRPr="006D3942">
        <w:t>that adjudicates removal proceedings and contains two levels</w:t>
      </w:r>
      <w:r w:rsidR="00E86C05">
        <w:t>:</w:t>
      </w:r>
      <w:r w:rsidR="006D3942" w:rsidRPr="006D3942">
        <w:t xml:space="preserve"> the </w:t>
      </w:r>
      <w:r w:rsidR="002D730A">
        <w:t>i</w:t>
      </w:r>
      <w:r w:rsidR="006D3942" w:rsidRPr="006D3942">
        <w:t xml:space="preserve">mmigration </w:t>
      </w:r>
      <w:r w:rsidR="002D730A">
        <w:t>c</w:t>
      </w:r>
      <w:r w:rsidR="006D3942" w:rsidRPr="006D3942">
        <w:t>ourts and an appellate body known as the Board of Immigration Appeals (BIA).</w:t>
      </w:r>
      <w:bookmarkStart w:id="15" w:name="_Ref177479401"/>
      <w:r w:rsidR="006D3942" w:rsidRPr="006D3942">
        <w:rPr>
          <w:rStyle w:val="NoteRefInText"/>
        </w:rPr>
        <w:footnoteReference w:id="26"/>
      </w:r>
      <w:bookmarkEnd w:id="15"/>
      <w:r w:rsidR="00957FFE">
        <w:t xml:space="preserve"> Prior to the creation of</w:t>
      </w:r>
      <w:r w:rsidR="00D47D04">
        <w:t xml:space="preserve"> EOIR</w:t>
      </w:r>
      <w:r w:rsidR="00666603">
        <w:t xml:space="preserve">, </w:t>
      </w:r>
      <w:r w:rsidR="00957FFE">
        <w:t xml:space="preserve">the courts used to fall under </w:t>
      </w:r>
      <w:r w:rsidR="009332C8">
        <w:t xml:space="preserve">the same </w:t>
      </w:r>
      <w:r w:rsidR="00BD6556">
        <w:t xml:space="preserve">division of </w:t>
      </w:r>
      <w:r w:rsidR="00957FFE">
        <w:t>Immigration and Naturalization Service (INS)</w:t>
      </w:r>
      <w:r w:rsidR="00D47D04">
        <w:t xml:space="preserve"> </w:t>
      </w:r>
      <w:r w:rsidR="00BD6556">
        <w:t xml:space="preserve">as immigration </w:t>
      </w:r>
      <w:r w:rsidR="005C6757">
        <w:t>enforcement</w:t>
      </w:r>
      <w:r w:rsidR="00EE1E92">
        <w:t>,</w:t>
      </w:r>
      <w:r w:rsidR="005C6757">
        <w:t xml:space="preserve"> </w:t>
      </w:r>
      <w:r w:rsidR="00004AF2">
        <w:t>which</w:t>
      </w:r>
      <w:r w:rsidR="005C6757">
        <w:t xml:space="preserve"> was later moved to DHS</w:t>
      </w:r>
      <w:r w:rsidR="004E61AA">
        <w:t xml:space="preserve"> after INS was abolished.</w:t>
      </w:r>
      <w:r w:rsidR="00555F26" w:rsidRPr="00B053B5">
        <w:rPr>
          <w:rStyle w:val="NoteRefInText"/>
        </w:rPr>
        <w:footnoteReference w:id="27"/>
      </w:r>
    </w:p>
    <w:p w14:paraId="35732892" w14:textId="4FE1B86A" w:rsidR="008C0072" w:rsidRPr="006D3942" w:rsidRDefault="008C0072" w:rsidP="00695136">
      <w:pPr>
        <w:pStyle w:val="Document"/>
      </w:pPr>
      <w:r>
        <w:t xml:space="preserve">The adjudicators in the </w:t>
      </w:r>
      <w:r w:rsidR="00A57FC8">
        <w:t>i</w:t>
      </w:r>
      <w:r>
        <w:t xml:space="preserve">mmigration </w:t>
      </w:r>
      <w:r w:rsidR="00A57FC8">
        <w:t>c</w:t>
      </w:r>
      <w:r>
        <w:t xml:space="preserve">ourts are </w:t>
      </w:r>
      <w:r w:rsidR="00A57FC8">
        <w:t>i</w:t>
      </w:r>
      <w:r w:rsidRPr="006D3942">
        <w:t xml:space="preserve">mmigration </w:t>
      </w:r>
      <w:r w:rsidR="00A57FC8">
        <w:t>j</w:t>
      </w:r>
      <w:r w:rsidRPr="006D3942">
        <w:t xml:space="preserve">udges (IJs) </w:t>
      </w:r>
      <w:r>
        <w:t xml:space="preserve">who </w:t>
      </w:r>
      <w:r w:rsidRPr="006D3942">
        <w:t>differ substantially from traditional federal judges vested with power under Article III of the Constitution.</w:t>
      </w:r>
      <w:bookmarkStart w:id="16" w:name="_Ref186561727"/>
      <w:r w:rsidRPr="006D3942">
        <w:rPr>
          <w:rStyle w:val="NoteRefInText"/>
        </w:rPr>
        <w:footnoteReference w:id="28"/>
      </w:r>
      <w:bookmarkEnd w:id="16"/>
      <w:r w:rsidRPr="006D3942">
        <w:t xml:space="preserve"> Unlike Article III judges</w:t>
      </w:r>
      <w:r>
        <w:t>,</w:t>
      </w:r>
      <w:r w:rsidRPr="006D3942">
        <w:t xml:space="preserve"> who are appointed to the judiciary,</w:t>
      </w:r>
      <w:bookmarkStart w:id="17" w:name="_Ref186561762"/>
      <w:r w:rsidRPr="00B053B5">
        <w:rPr>
          <w:rStyle w:val="NoteRefInText"/>
        </w:rPr>
        <w:footnoteReference w:id="29"/>
      </w:r>
      <w:bookmarkEnd w:id="17"/>
      <w:r w:rsidRPr="006D3942">
        <w:t xml:space="preserve"> </w:t>
      </w:r>
      <w:r>
        <w:t xml:space="preserve">IJs receive </w:t>
      </w:r>
      <w:r w:rsidRPr="006D3942">
        <w:t>delegated authority to adjudicate in civil administrative proceedings.</w:t>
      </w:r>
      <w:r w:rsidRPr="006D3942">
        <w:rPr>
          <w:rStyle w:val="NoteRefInText"/>
        </w:rPr>
        <w:footnoteReference w:id="30"/>
      </w:r>
      <w:r w:rsidRPr="006D3942">
        <w:t xml:space="preserve"> </w:t>
      </w:r>
      <w:r w:rsidR="00EE1E92">
        <w:t>IJs</w:t>
      </w:r>
      <w:r w:rsidRPr="006D3942">
        <w:t xml:space="preserve"> are statutorily defined as “attorneys whom the Attorney General appoints as administrative judges . . . [to] act as the Attorney General’s delegates in the cases that come before them.”</w:t>
      </w:r>
      <w:r w:rsidRPr="006D3942">
        <w:rPr>
          <w:rStyle w:val="NoteRefInText"/>
        </w:rPr>
        <w:footnoteReference w:id="31"/>
      </w:r>
    </w:p>
    <w:p w14:paraId="33FCC5E4" w14:textId="718287F0" w:rsidR="00CA6DFA" w:rsidRDefault="00F425E3" w:rsidP="00695136">
      <w:pPr>
        <w:pStyle w:val="Document"/>
      </w:pPr>
      <w:r>
        <w:t>These i</w:t>
      </w:r>
      <w:r w:rsidR="006D3942" w:rsidRPr="006D3942">
        <w:t xml:space="preserve">mmigration </w:t>
      </w:r>
      <w:r w:rsidR="002D730A">
        <w:t>j</w:t>
      </w:r>
      <w:r w:rsidR="006D3942" w:rsidRPr="006D3942">
        <w:t>udges</w:t>
      </w:r>
      <w:r w:rsidR="00932547">
        <w:t>,</w:t>
      </w:r>
      <w:r w:rsidR="004E6173">
        <w:t xml:space="preserve"> </w:t>
      </w:r>
      <w:r w:rsidR="006D3942" w:rsidRPr="006D3942">
        <w:t>who staff</w:t>
      </w:r>
      <w:r w:rsidR="00557558">
        <w:t xml:space="preserve"> </w:t>
      </w:r>
      <w:r w:rsidR="006D3942" w:rsidRPr="006D3942">
        <w:t xml:space="preserve">around seventy </w:t>
      </w:r>
      <w:r w:rsidR="002D730A">
        <w:t>i</w:t>
      </w:r>
      <w:r w:rsidR="006D3942" w:rsidRPr="006D3942">
        <w:t xml:space="preserve">mmigration </w:t>
      </w:r>
      <w:r w:rsidR="002D730A">
        <w:t>c</w:t>
      </w:r>
      <w:r w:rsidR="006D3942" w:rsidRPr="006D3942">
        <w:t>ourts</w:t>
      </w:r>
      <w:r w:rsidR="000A5806">
        <w:t>,</w:t>
      </w:r>
      <w:r w:rsidR="004140BB" w:rsidRPr="00B053B5">
        <w:rPr>
          <w:rStyle w:val="NoteRefInText"/>
        </w:rPr>
        <w:footnoteReference w:id="32"/>
      </w:r>
      <w:r w:rsidR="006D3942" w:rsidRPr="006D3942">
        <w:t xml:space="preserve"> are hired by the Attorney General in the same manner as other civil servant</w:t>
      </w:r>
      <w:r w:rsidR="004140BB">
        <w:t>s</w:t>
      </w:r>
      <w:r w:rsidR="006D3942" w:rsidRPr="006D3942">
        <w:t>.</w:t>
      </w:r>
      <w:bookmarkStart w:id="18" w:name="_Ref177479237"/>
      <w:r w:rsidR="006D3942" w:rsidRPr="006D3942">
        <w:rPr>
          <w:rStyle w:val="NoteRefInText"/>
        </w:rPr>
        <w:footnoteReference w:id="33"/>
      </w:r>
      <w:bookmarkEnd w:id="18"/>
      <w:r w:rsidR="006D3942" w:rsidRPr="006D3942">
        <w:t xml:space="preserve"> As a result, IJs lack the traditional job protections afforded to other judicial actors.</w:t>
      </w:r>
      <w:bookmarkStart w:id="19" w:name="_Ref181100720"/>
      <w:r w:rsidR="006D3942" w:rsidRPr="006D3942">
        <w:rPr>
          <w:rStyle w:val="NoteRefInText"/>
        </w:rPr>
        <w:footnoteReference w:id="34"/>
      </w:r>
      <w:bookmarkEnd w:id="19"/>
      <w:r w:rsidR="006D3942" w:rsidRPr="006D3942">
        <w:t xml:space="preserve"> IJs are subject to termination at any time and do not have terms or term</w:t>
      </w:r>
      <w:r w:rsidR="00311F19">
        <w:t xml:space="preserve"> </w:t>
      </w:r>
      <w:r w:rsidR="006D3942" w:rsidRPr="006D3942">
        <w:t>limits.</w:t>
      </w:r>
      <w:bookmarkStart w:id="20" w:name="_Ref177479461"/>
      <w:r w:rsidR="006D3942" w:rsidRPr="006D3942">
        <w:rPr>
          <w:rStyle w:val="NoteRefInText"/>
        </w:rPr>
        <w:footnoteReference w:id="35"/>
      </w:r>
      <w:bookmarkEnd w:id="20"/>
      <w:r w:rsidR="006D3942" w:rsidRPr="006D3942">
        <w:t xml:space="preserve"> In addition, they are typically not required to have </w:t>
      </w:r>
      <w:r w:rsidR="006D3942" w:rsidRPr="006D3942">
        <w:lastRenderedPageBreak/>
        <w:t>prior experience in immigration law to qualify for employment by EOIR.</w:t>
      </w:r>
      <w:r w:rsidR="006D3942" w:rsidRPr="006D3942">
        <w:rPr>
          <w:rStyle w:val="NoteRefInText"/>
        </w:rPr>
        <w:footnoteReference w:id="36"/>
      </w:r>
      <w:r w:rsidR="006D3942" w:rsidRPr="006D3942">
        <w:t xml:space="preserve"> Moreover, IJ positions are </w:t>
      </w:r>
      <w:r w:rsidR="001B0A52">
        <w:t>often</w:t>
      </w:r>
      <w:r w:rsidR="001B0A52" w:rsidRPr="006D3942">
        <w:t xml:space="preserve"> </w:t>
      </w:r>
      <w:r w:rsidR="006D3942" w:rsidRPr="006D3942">
        <w:t xml:space="preserve">filled by prior attorneys for DHS, the “prosecutors” in </w:t>
      </w:r>
      <w:r w:rsidR="002D730A">
        <w:t>i</w:t>
      </w:r>
      <w:r w:rsidR="006D3942" w:rsidRPr="006D3942">
        <w:t xml:space="preserve">mmigration </w:t>
      </w:r>
      <w:r w:rsidR="002D730A">
        <w:t>c</w:t>
      </w:r>
      <w:r w:rsidR="006D3942" w:rsidRPr="006D3942">
        <w:t>ourts.</w:t>
      </w:r>
      <w:r w:rsidR="006D3942" w:rsidRPr="006D3942">
        <w:rPr>
          <w:rStyle w:val="NoteRefInText"/>
        </w:rPr>
        <w:footnoteReference w:id="37"/>
      </w:r>
      <w:r w:rsidR="006D3942" w:rsidRPr="006D3942">
        <w:t xml:space="preserve"> </w:t>
      </w:r>
    </w:p>
    <w:p w14:paraId="6EFCE09D" w14:textId="3F0389AF" w:rsidR="00F123F2" w:rsidRDefault="006D3942" w:rsidP="00695136">
      <w:pPr>
        <w:pStyle w:val="Document"/>
      </w:pPr>
      <w:r w:rsidRPr="006D3942">
        <w:t xml:space="preserve">IJs are not </w:t>
      </w:r>
      <w:r w:rsidR="00311F19" w:rsidRPr="00311F19">
        <w:t>Administrative Law Judges (ALJs)</w:t>
      </w:r>
      <w:r w:rsidR="00E86C05">
        <w:t>—</w:t>
      </w:r>
      <w:r w:rsidR="00311F19">
        <w:t>who oversee adjudications</w:t>
      </w:r>
      <w:r w:rsidRPr="006D3942">
        <w:t xml:space="preserve"> </w:t>
      </w:r>
      <w:r w:rsidR="00311F19">
        <w:t>at other administrative agencies</w:t>
      </w:r>
      <w:r w:rsidR="00E86C05">
        <w:t>—</w:t>
      </w:r>
      <w:r w:rsidRPr="006D3942">
        <w:t xml:space="preserve">and therefore do not receive the same protections from agency influence </w:t>
      </w:r>
      <w:r w:rsidR="00E86C05">
        <w:t xml:space="preserve">afforded to </w:t>
      </w:r>
      <w:r w:rsidRPr="006D3942">
        <w:t>ALJs under the Administrative Procedure Act.</w:t>
      </w:r>
      <w:r w:rsidRPr="006D3942">
        <w:rPr>
          <w:rStyle w:val="NoteRefInText"/>
        </w:rPr>
        <w:footnoteReference w:id="38"/>
      </w:r>
      <w:r w:rsidRPr="006D3942">
        <w:t xml:space="preserve"> IJs </w:t>
      </w:r>
      <w:r w:rsidR="0027127D">
        <w:t xml:space="preserve">also </w:t>
      </w:r>
      <w:r w:rsidRPr="006D3942">
        <w:t>possess limited judicial powers.</w:t>
      </w:r>
      <w:r w:rsidRPr="006D3942">
        <w:rPr>
          <w:rStyle w:val="NoteRefInText"/>
        </w:rPr>
        <w:footnoteReference w:id="39"/>
      </w:r>
      <w:r w:rsidRPr="006D3942">
        <w:t xml:space="preserve"> For example, they lack the power to hold attorneys for DHS in contempt of court or issue sanctions when DHS attorneys fail to comply with court directives.</w:t>
      </w:r>
      <w:r w:rsidRPr="006D3942">
        <w:rPr>
          <w:rStyle w:val="NoteRefInText"/>
        </w:rPr>
        <w:footnoteReference w:id="40"/>
      </w:r>
      <w:r w:rsidR="007625D8">
        <w:t xml:space="preserve"> </w:t>
      </w:r>
    </w:p>
    <w:p w14:paraId="47E691FD" w14:textId="118DB1E0" w:rsidR="006D3942" w:rsidRDefault="007625D8" w:rsidP="00695136">
      <w:pPr>
        <w:pStyle w:val="Document"/>
      </w:pPr>
      <w:r w:rsidRPr="006D3942">
        <w:t>Individuals facing removal proceedings (formerly known as “deportation” or “exclusion” proceedings)</w:t>
      </w:r>
      <w:bookmarkStart w:id="21" w:name="_Ref186710026"/>
      <w:r w:rsidRPr="00B053B5">
        <w:rPr>
          <w:rStyle w:val="NoteRefInText"/>
        </w:rPr>
        <w:footnoteReference w:id="41"/>
      </w:r>
      <w:bookmarkEnd w:id="21"/>
      <w:r w:rsidRPr="006D3942">
        <w:t xml:space="preserve"> are known as “respondents”</w:t>
      </w:r>
      <w:r w:rsidRPr="00B053B5">
        <w:rPr>
          <w:rStyle w:val="NoteRefInText"/>
        </w:rPr>
        <w:footnoteReference w:id="42"/>
      </w:r>
      <w:r w:rsidRPr="006D3942">
        <w:t xml:space="preserve"> and lack the constitutional right to appointed counsel in </w:t>
      </w:r>
      <w:r w:rsidR="00A57FC8">
        <w:t>i</w:t>
      </w:r>
      <w:r w:rsidRPr="006D3942">
        <w:t xml:space="preserve">mmigration </w:t>
      </w:r>
      <w:r w:rsidR="00A57FC8">
        <w:t>c</w:t>
      </w:r>
      <w:r w:rsidRPr="006D3942">
        <w:t>ourt.</w:t>
      </w:r>
      <w:r w:rsidRPr="006D3942">
        <w:rPr>
          <w:rStyle w:val="NoteRefInText"/>
        </w:rPr>
        <w:footnoteReference w:id="43"/>
      </w:r>
      <w:r w:rsidRPr="006D3942">
        <w:t xml:space="preserve"> On the other hand, the government is represented by an attorney for DHS who advocates for removal.</w:t>
      </w:r>
      <w:r w:rsidRPr="006D3942">
        <w:rPr>
          <w:rStyle w:val="NoteRefInText"/>
        </w:rPr>
        <w:footnoteReference w:id="44"/>
      </w:r>
      <w:r w:rsidRPr="006D3942">
        <w:t xml:space="preserve"> In practice, this means that </w:t>
      </w:r>
      <w:proofErr w:type="gramStart"/>
      <w:r w:rsidRPr="006D3942">
        <w:t>the majority of</w:t>
      </w:r>
      <w:proofErr w:type="gramEnd"/>
      <w:r w:rsidRPr="006D3942">
        <w:t xml:space="preserve"> respondents</w:t>
      </w:r>
      <w:r w:rsidR="00FF552D">
        <w:t xml:space="preserve"> (</w:t>
      </w:r>
      <w:r w:rsidRPr="006D3942">
        <w:t>around 60% in 2023</w:t>
      </w:r>
      <w:r w:rsidR="00FF552D">
        <w:t>)</w:t>
      </w:r>
      <w:r w:rsidRPr="006D3942">
        <w:t xml:space="preserve"> represent themselves </w:t>
      </w:r>
      <w:r w:rsidRPr="00F258E0">
        <w:t>pro se</w:t>
      </w:r>
      <w:r w:rsidRPr="006D3942">
        <w:t xml:space="preserve"> in their removal proceedings in </w:t>
      </w:r>
      <w:r w:rsidR="00A57FC8">
        <w:t>i</w:t>
      </w:r>
      <w:r w:rsidRPr="006D3942">
        <w:t xml:space="preserve">mmigration </w:t>
      </w:r>
      <w:r w:rsidR="00A57FC8">
        <w:t>c</w:t>
      </w:r>
      <w:r w:rsidRPr="006D3942">
        <w:t>ourt.</w:t>
      </w:r>
      <w:r w:rsidRPr="006D3942">
        <w:rPr>
          <w:rStyle w:val="NoteRefInText"/>
        </w:rPr>
        <w:footnoteReference w:id="45"/>
      </w:r>
      <w:r w:rsidR="00D35428">
        <w:t xml:space="preserve"> </w:t>
      </w:r>
    </w:p>
    <w:p w14:paraId="0D15F434" w14:textId="466C402C" w:rsidR="00D35428" w:rsidRPr="006D3942" w:rsidRDefault="00D35428" w:rsidP="00695136">
      <w:pPr>
        <w:pStyle w:val="Document"/>
      </w:pPr>
      <w:r w:rsidRPr="00EA03EA">
        <w:t xml:space="preserve">Given that many respondents represent themselves </w:t>
      </w:r>
      <w:r w:rsidRPr="00F258E0">
        <w:t>pro se</w:t>
      </w:r>
      <w:r w:rsidR="00C87384" w:rsidRPr="00EA03EA">
        <w:t xml:space="preserve">, IJs are often tasked </w:t>
      </w:r>
      <w:r w:rsidR="00DF671D">
        <w:t xml:space="preserve">by law </w:t>
      </w:r>
      <w:r w:rsidR="00C87384" w:rsidRPr="00EA03EA">
        <w:t xml:space="preserve">with </w:t>
      </w:r>
      <w:r w:rsidR="00EA03EA" w:rsidRPr="00EA03EA">
        <w:t>also developing the record themselves</w:t>
      </w:r>
      <w:r w:rsidR="006F78B1">
        <w:t xml:space="preserve"> </w:t>
      </w:r>
      <w:r w:rsidR="00DF671D">
        <w:t xml:space="preserve">and asking </w:t>
      </w:r>
      <w:r w:rsidR="00EA03EA">
        <w:t xml:space="preserve">probing questions </w:t>
      </w:r>
      <w:r w:rsidR="00DF671D">
        <w:t>to do so.</w:t>
      </w:r>
      <w:r w:rsidR="002E1971" w:rsidRPr="00B053B5">
        <w:rPr>
          <w:rStyle w:val="NoteRefInText"/>
        </w:rPr>
        <w:footnoteReference w:id="46"/>
      </w:r>
      <w:r w:rsidR="00581F64">
        <w:t xml:space="preserve"> </w:t>
      </w:r>
      <w:r w:rsidR="00DF671D">
        <w:t xml:space="preserve">This blurs the line between advocate and </w:t>
      </w:r>
      <w:r w:rsidR="00AB3BA8">
        <w:t xml:space="preserve">neutral arbiter </w:t>
      </w:r>
      <w:r w:rsidR="00AB3BA8">
        <w:lastRenderedPageBreak/>
        <w:t xml:space="preserve">in a </w:t>
      </w:r>
      <w:r w:rsidR="00964229">
        <w:t>way that</w:t>
      </w:r>
      <w:r w:rsidR="00AB3BA8">
        <w:t xml:space="preserve"> </w:t>
      </w:r>
      <w:r w:rsidR="007C1283">
        <w:t>impacts</w:t>
      </w:r>
      <w:r w:rsidR="00DB08AE">
        <w:t xml:space="preserve"> </w:t>
      </w:r>
      <w:r w:rsidR="00EB08CA">
        <w:t xml:space="preserve">how respondents experience immigration court, and </w:t>
      </w:r>
      <w:r w:rsidR="00095B36">
        <w:t xml:space="preserve">that influences </w:t>
      </w:r>
      <w:r w:rsidR="00E54A90">
        <w:t xml:space="preserve">how IJs ultimately make adjudicatory decisions. </w:t>
      </w:r>
    </w:p>
    <w:p w14:paraId="25620BE5" w14:textId="03ED86EA" w:rsidR="008B7DDF" w:rsidRDefault="00E81F9D" w:rsidP="00695136">
      <w:pPr>
        <w:pStyle w:val="Document"/>
      </w:pPr>
      <w:r w:rsidRPr="006D3942">
        <w:t>IJ decisions are subject to a limited review by higher courts.</w:t>
      </w:r>
      <w:r w:rsidRPr="006D3942">
        <w:rPr>
          <w:rStyle w:val="NoteRefInText"/>
        </w:rPr>
        <w:footnoteReference w:id="47"/>
      </w:r>
      <w:r>
        <w:t xml:space="preserve"> </w:t>
      </w:r>
      <w:r w:rsidR="006D3942" w:rsidRPr="006D3942">
        <w:t>Adjudication</w:t>
      </w:r>
      <w:r>
        <w:t xml:space="preserve"> decisions</w:t>
      </w:r>
      <w:r w:rsidR="006D3942" w:rsidRPr="006D3942">
        <w:t xml:space="preserve"> can be reviewed by the BIA, the appellate panel </w:t>
      </w:r>
      <w:r w:rsidR="008B7DDF">
        <w:t xml:space="preserve">also </w:t>
      </w:r>
      <w:r w:rsidR="006D3942" w:rsidRPr="006D3942">
        <w:t>appointed by the Attorney General</w:t>
      </w:r>
      <w:r w:rsidR="00311F19">
        <w:t>,</w:t>
      </w:r>
      <w:r w:rsidR="001B0A52" w:rsidRPr="00B053B5">
        <w:rPr>
          <w:rStyle w:val="NoteRefInText"/>
        </w:rPr>
        <w:footnoteReference w:id="48"/>
      </w:r>
      <w:r w:rsidR="006D3942" w:rsidRPr="006D3942">
        <w:t xml:space="preserve"> </w:t>
      </w:r>
      <w:r w:rsidR="00430F02">
        <w:t xml:space="preserve">which is </w:t>
      </w:r>
      <w:r w:rsidR="006D3942" w:rsidRPr="006D3942">
        <w:t>housed under EOIR</w:t>
      </w:r>
      <w:r w:rsidR="00430F02">
        <w:t xml:space="preserve"> </w:t>
      </w:r>
      <w:r w:rsidR="00311F19">
        <w:t>and</w:t>
      </w:r>
      <w:r w:rsidR="006D3942" w:rsidRPr="006D3942">
        <w:t xml:space="preserve"> made up of attorneys who</w:t>
      </w:r>
      <w:r w:rsidR="00A30C51">
        <w:t xml:space="preserve"> </w:t>
      </w:r>
      <w:r w:rsidR="00B02D10">
        <w:t>“‘</w:t>
      </w:r>
      <w:r w:rsidR="006D3942" w:rsidRPr="006D3942">
        <w:t>act as the Attorney General’s delegates</w:t>
      </w:r>
      <w:r w:rsidR="00A30C51">
        <w:t>.</w:t>
      </w:r>
      <w:r w:rsidR="00B02D10">
        <w:t>’”</w:t>
      </w:r>
      <w:r w:rsidR="006D3942" w:rsidRPr="006D3942">
        <w:rPr>
          <w:rStyle w:val="NoteRefInText"/>
        </w:rPr>
        <w:footnoteReference w:id="49"/>
      </w:r>
      <w:r w:rsidR="006D3942" w:rsidRPr="006D3942">
        <w:t xml:space="preserve"> The BIA issues published, precedential decisions that are nationally binding on the </w:t>
      </w:r>
      <w:r w:rsidR="002D730A">
        <w:t>i</w:t>
      </w:r>
      <w:r w:rsidR="006D3942" w:rsidRPr="006D3942">
        <w:t xml:space="preserve">mmigration </w:t>
      </w:r>
      <w:r w:rsidR="002D730A">
        <w:t>c</w:t>
      </w:r>
      <w:r w:rsidR="006D3942" w:rsidRPr="006D3942">
        <w:t>ourts and generally conducts a review only of the established paper record.</w:t>
      </w:r>
      <w:r w:rsidR="006D3942" w:rsidRPr="006D3942">
        <w:rPr>
          <w:rStyle w:val="NoteRefInText"/>
        </w:rPr>
        <w:footnoteReference w:id="50"/>
      </w:r>
      <w:r w:rsidR="006D3942" w:rsidRPr="006D3942">
        <w:t xml:space="preserve"> </w:t>
      </w:r>
    </w:p>
    <w:p w14:paraId="737B5F96" w14:textId="41E6BCFD" w:rsidR="006D3942" w:rsidRPr="006D3942" w:rsidRDefault="006D3942" w:rsidP="00695136">
      <w:pPr>
        <w:pStyle w:val="Document"/>
      </w:pPr>
      <w:r w:rsidRPr="006D3942">
        <w:t xml:space="preserve">Beyond seeking redress at the BIA, respondents in </w:t>
      </w:r>
      <w:r w:rsidR="002D730A">
        <w:t>i</w:t>
      </w:r>
      <w:r w:rsidRPr="006D3942">
        <w:t xml:space="preserve">mmigration </w:t>
      </w:r>
      <w:r w:rsidR="002D730A">
        <w:t>c</w:t>
      </w:r>
      <w:r w:rsidRPr="006D3942">
        <w:t xml:space="preserve">ourt can appeal to the </w:t>
      </w:r>
      <w:r w:rsidR="00D807A4">
        <w:t>U.S.</w:t>
      </w:r>
      <w:r w:rsidRPr="006D3942">
        <w:t xml:space="preserve"> Courts of Appeal</w:t>
      </w:r>
      <w:r w:rsidR="001B0A52">
        <w:t>s</w:t>
      </w:r>
      <w:r w:rsidRPr="006D3942">
        <w:t>, subject to the significant restrictions on federal judicial review of administrative agency decisions.</w:t>
      </w:r>
      <w:r w:rsidRPr="006D3942">
        <w:rPr>
          <w:rStyle w:val="NoteRefInText"/>
        </w:rPr>
        <w:footnoteReference w:id="51"/>
      </w:r>
      <w:r w:rsidRPr="006D3942">
        <w:t xml:space="preserve"> These restrictions include deference to agency interpretation of questions of law</w:t>
      </w:r>
      <w:r w:rsidRPr="005E5957">
        <w:t>,</w:t>
      </w:r>
      <w:r w:rsidRPr="006D3942">
        <w:rPr>
          <w:rStyle w:val="NoteRefInText"/>
        </w:rPr>
        <w:footnoteReference w:id="52"/>
      </w:r>
      <w:r w:rsidR="003B38CB">
        <w:t xml:space="preserve"> </w:t>
      </w:r>
      <w:r w:rsidR="003B38CB" w:rsidRPr="003B38CB">
        <w:t>limiting review to only the administrative record with a prohibition on additional fact-finding,</w:t>
      </w:r>
      <w:r w:rsidR="003B38CB">
        <w:t xml:space="preserve"> </w:t>
      </w:r>
      <w:r w:rsidRPr="006D3942">
        <w:t>and various statutory restrictions on the scope of cases and questions that are subject to judicial review.</w:t>
      </w:r>
      <w:r w:rsidRPr="006D3942">
        <w:rPr>
          <w:rStyle w:val="NoteRefInText"/>
        </w:rPr>
        <w:footnoteReference w:id="53"/>
      </w:r>
      <w:r w:rsidRPr="006D3942">
        <w:t xml:space="preserve"> In practice, only around two percent of immigration cases are ever appealed to federal courts</w:t>
      </w:r>
      <w:r w:rsidR="00311F19">
        <w:t>,</w:t>
      </w:r>
      <w:r w:rsidRPr="006D3942">
        <w:t xml:space="preserve"> and of that two percent,</w:t>
      </w:r>
      <w:r w:rsidR="00615C72">
        <w:t xml:space="preserve"> </w:t>
      </w:r>
      <w:r w:rsidRPr="006D3942">
        <w:t xml:space="preserve">only eight percent of </w:t>
      </w:r>
      <w:r w:rsidR="00615C72">
        <w:t>those appeals are granted</w:t>
      </w:r>
      <w:r w:rsidRPr="006D3942">
        <w:t xml:space="preserve"> on average.</w:t>
      </w:r>
      <w:r w:rsidRPr="006D3942">
        <w:rPr>
          <w:rStyle w:val="NoteRefInText"/>
        </w:rPr>
        <w:footnoteReference w:id="54"/>
      </w:r>
      <w:r w:rsidRPr="006D3942">
        <w:t xml:space="preserve"> This means that virtually all removal cases will be decided within EOIR’s adjudication system</w:t>
      </w:r>
      <w:r w:rsidR="00311F19">
        <w:t>,</w:t>
      </w:r>
      <w:r w:rsidRPr="006D3942">
        <w:t xml:space="preserve"> and most noncitizens facing removal will never have an Article III federal judge review their deportation case.</w:t>
      </w:r>
    </w:p>
    <w:p w14:paraId="3E3A1AAA" w14:textId="4BED0A0E" w:rsidR="006D3942" w:rsidRPr="006D3942" w:rsidRDefault="006D3942" w:rsidP="00695136">
      <w:pPr>
        <w:pStyle w:val="Document"/>
      </w:pPr>
      <w:r w:rsidRPr="006D3942">
        <w:lastRenderedPageBreak/>
        <w:t xml:space="preserve">In addition to the limits on judicial review, </w:t>
      </w:r>
      <w:r w:rsidR="00BF32FD">
        <w:t>one of the</w:t>
      </w:r>
      <w:r w:rsidRPr="006D3942">
        <w:t xml:space="preserve"> most unique aspect</w:t>
      </w:r>
      <w:r w:rsidR="00BF32FD">
        <w:t>s</w:t>
      </w:r>
      <w:r w:rsidRPr="006D3942">
        <w:t xml:space="preserve"> of EOIR’s structure is that the Attorney General, as the head of EOIR, is able to certify decisions made by the BIA to him or herself using a special self-referral power </w:t>
      </w:r>
      <w:r w:rsidR="00311F19">
        <w:t>that</w:t>
      </w:r>
      <w:r w:rsidR="00311F19" w:rsidRPr="006D3942">
        <w:t xml:space="preserve"> </w:t>
      </w:r>
      <w:r w:rsidRPr="006D3942">
        <w:t>allows the Attorney General to reexamine all aspects of the BIA decision</w:t>
      </w:r>
      <w:r w:rsidRPr="006D3942">
        <w:rPr>
          <w:rStyle w:val="NoteRefInText"/>
        </w:rPr>
        <w:footnoteReference w:id="55"/>
      </w:r>
      <w:r w:rsidRPr="006D3942">
        <w:t xml:space="preserve"> </w:t>
      </w:r>
      <w:r w:rsidR="00615C72" w:rsidRPr="00D222E6">
        <w:t>de novo</w:t>
      </w:r>
      <w:r w:rsidR="00615C72" w:rsidRPr="006D3942">
        <w:t>.</w:t>
      </w:r>
      <w:r w:rsidR="00615C72" w:rsidRPr="00B053B5">
        <w:rPr>
          <w:rStyle w:val="NoteRefInText"/>
        </w:rPr>
        <w:footnoteReference w:id="56"/>
      </w:r>
      <w:r w:rsidR="00615C72">
        <w:t xml:space="preserve"> </w:t>
      </w:r>
      <w:r w:rsidRPr="006D3942">
        <w:t>This power allows the Attorney General to vacate the BIA decision and</w:t>
      </w:r>
      <w:r w:rsidR="00095B36">
        <w:t xml:space="preserve"> then</w:t>
      </w:r>
      <w:r w:rsidRPr="006D3942">
        <w:t xml:space="preserve"> </w:t>
      </w:r>
      <w:r w:rsidR="00615C72">
        <w:t>issue</w:t>
      </w:r>
      <w:r w:rsidR="00615C72" w:rsidRPr="006D3942">
        <w:t xml:space="preserve"> </w:t>
      </w:r>
      <w:r w:rsidR="00095B36">
        <w:t xml:space="preserve">their </w:t>
      </w:r>
      <w:r w:rsidRPr="006D3942">
        <w:t>own decision</w:t>
      </w:r>
      <w:r w:rsidR="00095B36">
        <w:t xml:space="preserve">—a decision which ultimately </w:t>
      </w:r>
      <w:r w:rsidRPr="006D3942">
        <w:t>serves as nationally binding precedent and overrules any inconsistent prior precedent.</w:t>
      </w:r>
      <w:bookmarkStart w:id="22" w:name="_Ref177479673"/>
      <w:r w:rsidRPr="006D3942">
        <w:rPr>
          <w:rStyle w:val="NoteRefInText"/>
        </w:rPr>
        <w:footnoteReference w:id="57"/>
      </w:r>
      <w:bookmarkEnd w:id="22"/>
      <w:r w:rsidRPr="006D3942">
        <w:t xml:space="preserve"> This referral power stems from federal regulation granting broad authority to the </w:t>
      </w:r>
      <w:r w:rsidR="002D730A">
        <w:t>E</w:t>
      </w:r>
      <w:r w:rsidRPr="006D3942">
        <w:t xml:space="preserve">xecutive </w:t>
      </w:r>
      <w:r w:rsidR="002D730A">
        <w:t>B</w:t>
      </w:r>
      <w:r w:rsidRPr="006D3942">
        <w:t>ranch in immigration law.</w:t>
      </w:r>
      <w:r w:rsidRPr="006D3942">
        <w:rPr>
          <w:rStyle w:val="NoteRefInText"/>
        </w:rPr>
        <w:footnoteReference w:id="58"/>
      </w:r>
      <w:r w:rsidRPr="006D3942">
        <w:t xml:space="preserve"> In practice, this power grants almost limitless executive control over the substantive interpretation of immigration law.</w:t>
      </w:r>
      <w:r w:rsidRPr="006D3942">
        <w:rPr>
          <w:rStyle w:val="NoteRefInText"/>
        </w:rPr>
        <w:footnoteReference w:id="59"/>
      </w:r>
    </w:p>
    <w:p w14:paraId="5E411ABC" w14:textId="2CA6EC90" w:rsidR="006D3942" w:rsidRPr="006D3942" w:rsidRDefault="006D3942" w:rsidP="00695136">
      <w:pPr>
        <w:pStyle w:val="Head2"/>
      </w:pPr>
      <w:bookmarkStart w:id="23" w:name="_Toc173015244"/>
      <w:bookmarkStart w:id="24" w:name="_Toc191465192"/>
      <w:r w:rsidRPr="006D3942">
        <w:t>B.</w:t>
      </w:r>
      <w:r w:rsidR="00900850">
        <w:tab/>
      </w:r>
      <w:r w:rsidRPr="006D3942">
        <w:t>Problems Stemming from Executive Control over EOIR</w:t>
      </w:r>
      <w:bookmarkEnd w:id="23"/>
      <w:bookmarkEnd w:id="24"/>
    </w:p>
    <w:p w14:paraId="02AB90CB" w14:textId="62FCE6CE" w:rsidR="006D3942" w:rsidRPr="006D3942" w:rsidRDefault="006D3942" w:rsidP="00695136">
      <w:pPr>
        <w:pStyle w:val="Document"/>
      </w:pPr>
      <w:r w:rsidRPr="006D3942">
        <w:t xml:space="preserve">The structure of EOIR creates a system in which the </w:t>
      </w:r>
      <w:r w:rsidR="002D730A">
        <w:t>E</w:t>
      </w:r>
      <w:r w:rsidRPr="006D3942">
        <w:t xml:space="preserve">xecutive </w:t>
      </w:r>
      <w:r w:rsidR="002D730A">
        <w:t>B</w:t>
      </w:r>
      <w:r w:rsidRPr="006D3942">
        <w:t xml:space="preserve">ranch exercises significant control over the </w:t>
      </w:r>
      <w:r w:rsidR="002D730A">
        <w:t>i</w:t>
      </w:r>
      <w:r w:rsidRPr="006D3942">
        <w:t xml:space="preserve">mmigration </w:t>
      </w:r>
      <w:r w:rsidR="002D730A">
        <w:t>c</w:t>
      </w:r>
      <w:r w:rsidRPr="006D3942">
        <w:t>ourts</w:t>
      </w:r>
      <w:r w:rsidR="00973186">
        <w:t>,</w:t>
      </w:r>
      <w:r w:rsidRPr="006D3942">
        <w:t xml:space="preserve"> </w:t>
      </w:r>
      <w:r w:rsidR="004E59A2">
        <w:t xml:space="preserve">thereby </w:t>
      </w:r>
      <w:r w:rsidRPr="006D3942">
        <w:t>creat</w:t>
      </w:r>
      <w:r w:rsidR="004E59A2">
        <w:t>ing</w:t>
      </w:r>
      <w:r w:rsidRPr="006D3942">
        <w:t xml:space="preserve"> a court system </w:t>
      </w:r>
      <w:r w:rsidR="004E59A2">
        <w:t xml:space="preserve">in which </w:t>
      </w:r>
      <w:r w:rsidRPr="006D3942">
        <w:t>the</w:t>
      </w:r>
      <w:r w:rsidR="00095B36">
        <w:t>re is significant</w:t>
      </w:r>
      <w:r w:rsidRPr="006D3942">
        <w:t xml:space="preserve"> risk of political influence</w:t>
      </w:r>
      <w:r w:rsidR="0030047E">
        <w:t xml:space="preserve"> and a law</w:t>
      </w:r>
      <w:r w:rsidR="004E59A2">
        <w:t>-</w:t>
      </w:r>
      <w:r w:rsidR="0030047E">
        <w:t>enforcement mindset</w:t>
      </w:r>
      <w:r w:rsidRPr="006D3942">
        <w:t xml:space="preserve"> over judicial decisionmaking. Over the course of the history of the </w:t>
      </w:r>
      <w:r w:rsidR="002D730A">
        <w:t>i</w:t>
      </w:r>
      <w:r w:rsidRPr="006D3942">
        <w:t xml:space="preserve">mmigration </w:t>
      </w:r>
      <w:r w:rsidR="002D730A">
        <w:t>c</w:t>
      </w:r>
      <w:r w:rsidRPr="006D3942">
        <w:t>ourts, numerous policies undertaken at the direction of the Attorney General</w:t>
      </w:r>
      <w:r w:rsidR="00973186">
        <w:t>,</w:t>
      </w:r>
      <w:r w:rsidRPr="006D3942">
        <w:t xml:space="preserve"> acting on behalf of the </w:t>
      </w:r>
      <w:r w:rsidR="002D730A">
        <w:t>E</w:t>
      </w:r>
      <w:r w:rsidRPr="006D3942">
        <w:t xml:space="preserve">xecutive </w:t>
      </w:r>
      <w:r w:rsidR="002D730A">
        <w:t>B</w:t>
      </w:r>
      <w:r w:rsidRPr="006D3942">
        <w:t>ranch</w:t>
      </w:r>
      <w:r w:rsidR="00973186">
        <w:t>,</w:t>
      </w:r>
      <w:r w:rsidRPr="006D3942">
        <w:t xml:space="preserve"> have led to some of the most troubling outcomes for judicial independence, fundamental fairness, and due process in immigration policy.</w:t>
      </w:r>
      <w:r w:rsidRPr="006D3942">
        <w:rPr>
          <w:rStyle w:val="NoteRefInText"/>
        </w:rPr>
        <w:footnoteReference w:id="60"/>
      </w:r>
      <w:r w:rsidRPr="006D3942">
        <w:t xml:space="preserve"> As one</w:t>
      </w:r>
      <w:r w:rsidR="00472F1C">
        <w:t xml:space="preserve"> </w:t>
      </w:r>
      <w:r w:rsidR="00615C72">
        <w:t>advocate</w:t>
      </w:r>
      <w:r w:rsidRPr="006D3942">
        <w:t xml:space="preserve"> put it, “draw[ing] the curtain back on first impressions, the attorney general sits as the great and powerful Oz at the helm of the entire judicial enterprise.”</w:t>
      </w:r>
      <w:r w:rsidRPr="006D3942">
        <w:rPr>
          <w:rStyle w:val="NoteRefInText"/>
        </w:rPr>
        <w:footnoteReference w:id="61"/>
      </w:r>
    </w:p>
    <w:p w14:paraId="26C95A9A" w14:textId="5FA79440" w:rsidR="006D3942" w:rsidRPr="006D3942" w:rsidRDefault="006D3942" w:rsidP="00695136">
      <w:pPr>
        <w:pStyle w:val="Document"/>
      </w:pPr>
      <w:r w:rsidRPr="006D3942">
        <w:t xml:space="preserve">Attention to this pervasive issue was directed acutely towards the </w:t>
      </w:r>
      <w:r w:rsidR="00095BF6">
        <w:t xml:space="preserve">first </w:t>
      </w:r>
      <w:r w:rsidRPr="006D3942">
        <w:t xml:space="preserve">Trump Administration’s overt efforts to undermine the independence of EOIR, but the challenges for judicial independence have long persisted across administrations. In 1999, </w:t>
      </w:r>
      <w:r w:rsidRPr="008A00D8">
        <w:t>regulation</w:t>
      </w:r>
      <w:r w:rsidRPr="006D3942">
        <w:t xml:space="preserve"> changed the structure of BIA review from a </w:t>
      </w:r>
      <w:r w:rsidR="00824972">
        <w:t xml:space="preserve">hearing before a </w:t>
      </w:r>
      <w:r w:rsidRPr="006D3942">
        <w:t xml:space="preserve">panel </w:t>
      </w:r>
      <w:r w:rsidR="004E59A2">
        <w:t xml:space="preserve">comprised </w:t>
      </w:r>
      <w:r w:rsidRPr="006D3942">
        <w:t xml:space="preserve">of </w:t>
      </w:r>
      <w:r w:rsidR="004E59A2">
        <w:t xml:space="preserve">at least </w:t>
      </w:r>
      <w:r w:rsidRPr="006D3942">
        <w:t xml:space="preserve">three members to review by only a single member in </w:t>
      </w:r>
      <w:r w:rsidR="00472F1C">
        <w:t>some</w:t>
      </w:r>
      <w:r w:rsidR="00E235AE">
        <w:t xml:space="preserve"> </w:t>
      </w:r>
      <w:r w:rsidRPr="006D3942">
        <w:t>cases.</w:t>
      </w:r>
      <w:r w:rsidRPr="006D3942">
        <w:rPr>
          <w:rStyle w:val="NoteRefInText"/>
        </w:rPr>
        <w:footnoteReference w:id="62"/>
      </w:r>
      <w:r w:rsidRPr="006D3942">
        <w:t xml:space="preserve"> In 2002</w:t>
      </w:r>
      <w:r w:rsidR="00824972">
        <w:t>,</w:t>
      </w:r>
      <w:r w:rsidR="004717E4">
        <w:t xml:space="preserve"> during the Bush Administration</w:t>
      </w:r>
      <w:r w:rsidRPr="006D3942">
        <w:t xml:space="preserve">, Attorney General Ashcroft took an unprecedented step and promulgated a rule that reduced the size of the BIA by more than half, </w:t>
      </w:r>
      <w:r w:rsidRPr="006D3942">
        <w:lastRenderedPageBreak/>
        <w:t>reassigning the BIA members who most often ruled in favor of noncitizens to other positions in an effort to substantially alter the number of grant rates and change national jurisprudence towards more anti-immigrant policies.</w:t>
      </w:r>
      <w:r w:rsidRPr="006D3942">
        <w:rPr>
          <w:rStyle w:val="NoteRefInText"/>
        </w:rPr>
        <w:footnoteReference w:id="63"/>
      </w:r>
      <w:r w:rsidRPr="006D3942">
        <w:t xml:space="preserve"> The standard of review for factual determinations made by IJs was changed at the BIA from </w:t>
      </w:r>
      <w:r w:rsidRPr="00564984">
        <w:t>de novo</w:t>
      </w:r>
      <w:r w:rsidRPr="006D3942">
        <w:t xml:space="preserve"> to </w:t>
      </w:r>
      <w:r w:rsidR="002D5386">
        <w:t xml:space="preserve">a </w:t>
      </w:r>
      <w:r w:rsidRPr="006D3942">
        <w:t>clearly</w:t>
      </w:r>
      <w:r w:rsidR="00824972">
        <w:t>-</w:t>
      </w:r>
      <w:r w:rsidRPr="006D3942">
        <w:t>erroneous</w:t>
      </w:r>
      <w:r w:rsidR="002D5386">
        <w:t xml:space="preserve"> standard</w:t>
      </w:r>
      <w:r w:rsidRPr="006D3942">
        <w:t>.</w:t>
      </w:r>
      <w:r w:rsidRPr="006D3942">
        <w:rPr>
          <w:rStyle w:val="NoteRefInText"/>
        </w:rPr>
        <w:footnoteReference w:id="64"/>
      </w:r>
      <w:r w:rsidRPr="006D3942">
        <w:t xml:space="preserve"> Then, in 2004, the Attorney General shifted the hiring process for IJs from one that had been largely conducted internally by EOIR to one that was assumed directly by the Office of the Attorney General</w:t>
      </w:r>
      <w:r w:rsidR="00824972">
        <w:t>.</w:t>
      </w:r>
      <w:r w:rsidR="00824972" w:rsidRPr="00B053B5">
        <w:rPr>
          <w:rStyle w:val="NoteRefInText"/>
        </w:rPr>
        <w:footnoteReference w:id="65"/>
      </w:r>
      <w:r w:rsidR="00824972">
        <w:t xml:space="preserve"> This shift</w:t>
      </w:r>
      <w:r w:rsidRPr="006D3942">
        <w:t xml:space="preserve"> ultimately </w:t>
      </w:r>
      <w:r w:rsidR="00824972" w:rsidRPr="006D3942">
        <w:t>led</w:t>
      </w:r>
      <w:r w:rsidRPr="006D3942">
        <w:t xml:space="preserve"> to an illegal hiring scandal</w:t>
      </w:r>
      <w:r w:rsidR="00095B36">
        <w:t>, which was exposed in 2008</w:t>
      </w:r>
      <w:r w:rsidRPr="006D3942">
        <w:t xml:space="preserve"> </w:t>
      </w:r>
      <w:r w:rsidR="00095B36">
        <w:t xml:space="preserve">when </w:t>
      </w:r>
      <w:r w:rsidRPr="006D3942">
        <w:t>the DOJ’s Office of the Inspector General confirmed that judges hired during this period were selected for political and ideological affiliations in direct violation of federal hiring laws.</w:t>
      </w:r>
      <w:r w:rsidRPr="006D3942">
        <w:rPr>
          <w:rStyle w:val="NoteRefInText"/>
        </w:rPr>
        <w:footnoteReference w:id="66"/>
      </w:r>
    </w:p>
    <w:p w14:paraId="098C1444" w14:textId="4BD9807C" w:rsidR="006D3942" w:rsidRPr="006D3942" w:rsidRDefault="00095B36" w:rsidP="00695136">
      <w:pPr>
        <w:pStyle w:val="Document"/>
      </w:pPr>
      <w:r>
        <w:t>But a</w:t>
      </w:r>
      <w:r w:rsidR="006D3942" w:rsidRPr="006D3942">
        <w:t xml:space="preserve">lthough the political influence of the </w:t>
      </w:r>
      <w:r w:rsidR="002D730A">
        <w:t>E</w:t>
      </w:r>
      <w:r w:rsidR="006D3942" w:rsidRPr="006D3942">
        <w:t xml:space="preserve">xecutive </w:t>
      </w:r>
      <w:r w:rsidR="002D730A">
        <w:t>B</w:t>
      </w:r>
      <w:r w:rsidR="006D3942" w:rsidRPr="006D3942">
        <w:t xml:space="preserve">ranch over the </w:t>
      </w:r>
      <w:r w:rsidR="002D730A">
        <w:t>i</w:t>
      </w:r>
      <w:r w:rsidR="006D3942" w:rsidRPr="006D3942">
        <w:t xml:space="preserve">mmigration </w:t>
      </w:r>
      <w:r w:rsidR="002D730A">
        <w:t>c</w:t>
      </w:r>
      <w:r w:rsidR="006D3942" w:rsidRPr="006D3942">
        <w:t xml:space="preserve">ourts was far from novel, the efforts of the </w:t>
      </w:r>
      <w:r w:rsidR="00095BF6">
        <w:t xml:space="preserve">first </w:t>
      </w:r>
      <w:r w:rsidR="006D3942" w:rsidRPr="006D3942">
        <w:t>Trump Administration to influence EOIR reached new heights. In 2018, the Attorney General began requiring individual case</w:t>
      </w:r>
      <w:r w:rsidR="002D5386">
        <w:t>-</w:t>
      </w:r>
      <w:r w:rsidR="006D3942" w:rsidRPr="006D3942">
        <w:t>completion quotas along with suggested time-completion deadlines for all removal cases, prioritizing speed over accuracy in removal proceedings and linking job security and performance reviews for IJs to these metrics.</w:t>
      </w:r>
      <w:r w:rsidR="006D3942" w:rsidRPr="006D3942">
        <w:rPr>
          <w:rStyle w:val="NoteRefInText"/>
        </w:rPr>
        <w:footnoteReference w:id="67"/>
      </w:r>
      <w:r w:rsidR="006D3942" w:rsidRPr="006D3942">
        <w:t xml:space="preserve"> The move was harshly criticized by both immigrants’ rights advocates and the NAIJ as having perverse effects on due process and fundamental fairness by encouraging summary removals over investigative fact</w:t>
      </w:r>
      <w:r w:rsidR="002D5386">
        <w:t>-</w:t>
      </w:r>
      <w:r w:rsidR="006D3942" w:rsidRPr="006D3942">
        <w:t>finding</w:t>
      </w:r>
      <w:r w:rsidR="002D5386">
        <w:t>,</w:t>
      </w:r>
      <w:r w:rsidR="006D3942" w:rsidRPr="006D3942">
        <w:t xml:space="preserve"> which required additional time for judges to </w:t>
      </w:r>
      <w:r w:rsidR="006D3942" w:rsidRPr="008A00D8">
        <w:t>conduct</w:t>
      </w:r>
      <w:r w:rsidR="006D3942" w:rsidRPr="006D3942">
        <w:t>.</w:t>
      </w:r>
      <w:bookmarkStart w:id="25" w:name="_Ref177479657"/>
      <w:r w:rsidR="006D3942" w:rsidRPr="006D3942">
        <w:rPr>
          <w:rStyle w:val="NoteRefInText"/>
        </w:rPr>
        <w:footnoteReference w:id="68"/>
      </w:r>
      <w:bookmarkEnd w:id="25"/>
      <w:r w:rsidR="006D3942" w:rsidRPr="006D3942">
        <w:t xml:space="preserve"> Later, in 2019, the Trump Administration undertook efforts to strip the NAIJ of collective bargaining rights after </w:t>
      </w:r>
      <w:r w:rsidR="006D3942" w:rsidRPr="006D3942">
        <w:lastRenderedPageBreak/>
        <w:t>numerous public complaints were issued against the administration’s policies.</w:t>
      </w:r>
      <w:r w:rsidR="006D3942" w:rsidRPr="006D3942">
        <w:rPr>
          <w:rStyle w:val="NoteRefInText"/>
        </w:rPr>
        <w:footnoteReference w:id="69"/>
      </w:r>
    </w:p>
    <w:p w14:paraId="09580191" w14:textId="4118D210" w:rsidR="006D3942" w:rsidRPr="006D3942" w:rsidRDefault="006D3942" w:rsidP="00695136">
      <w:pPr>
        <w:pStyle w:val="Document"/>
      </w:pPr>
      <w:r w:rsidRPr="006D3942">
        <w:t xml:space="preserve">Due to EOIR’s lack of independence from the </w:t>
      </w:r>
      <w:r w:rsidR="002D730A">
        <w:t>E</w:t>
      </w:r>
      <w:r w:rsidRPr="006D3942">
        <w:t xml:space="preserve">xecutive </w:t>
      </w:r>
      <w:r w:rsidR="002D730A">
        <w:t>B</w:t>
      </w:r>
      <w:r w:rsidRPr="006D3942">
        <w:t xml:space="preserve">ranch, there has been increasing pressure and strain to issue decisions quickly, without regard for other important judicial values. For example, IJs </w:t>
      </w:r>
      <w:r w:rsidR="0059248C">
        <w:t xml:space="preserve">often do not </w:t>
      </w:r>
      <w:r w:rsidRPr="006D3942">
        <w:t>issue written decisions</w:t>
      </w:r>
      <w:r w:rsidR="002D5386">
        <w:t>,</w:t>
      </w:r>
      <w:r w:rsidR="001F6B4E" w:rsidRPr="00B053B5">
        <w:rPr>
          <w:rStyle w:val="NoteRefInText"/>
        </w:rPr>
        <w:footnoteReference w:id="70"/>
      </w:r>
      <w:r w:rsidRPr="006D3942">
        <w:t xml:space="preserve"> and</w:t>
      </w:r>
      <w:r w:rsidR="00F8677A">
        <w:t xml:space="preserve"> </w:t>
      </w:r>
      <w:r w:rsidR="0059248C">
        <w:t>even when</w:t>
      </w:r>
      <w:r w:rsidR="001550FE">
        <w:t xml:space="preserve"> </w:t>
      </w:r>
      <w:r w:rsidRPr="006D3942">
        <w:t>a written decision is issued, it is not made available to the public.</w:t>
      </w:r>
      <w:r w:rsidRPr="006D3942">
        <w:rPr>
          <w:rStyle w:val="NoteRefInText"/>
        </w:rPr>
        <w:footnoteReference w:id="71"/>
      </w:r>
      <w:r w:rsidRPr="006D3942">
        <w:t xml:space="preserve"> In addition, since its restructuring in 2002, the BIA has gained the power to issue “affirmances without opinion” in which no reasoning for the affirmance is offered.</w:t>
      </w:r>
      <w:r w:rsidRPr="006D3942">
        <w:rPr>
          <w:rStyle w:val="NoteRefInText"/>
        </w:rPr>
        <w:footnoteReference w:id="72"/>
      </w:r>
      <w:r w:rsidRPr="006D3942">
        <w:t xml:space="preserve"> Since the early 2000s, the BIA has prioritized speed by moving away from issuing full legal opinions and instead preferring to issue short, paragraph-long decisions.</w:t>
      </w:r>
      <w:r w:rsidRPr="006D3942">
        <w:rPr>
          <w:rStyle w:val="NoteRefInText"/>
        </w:rPr>
        <w:footnoteReference w:id="73"/>
      </w:r>
      <w:r w:rsidRPr="006D3942">
        <w:t xml:space="preserve"> </w:t>
      </w:r>
      <w:r w:rsidR="003B67C1">
        <w:t>This means that an IJ may issue a private oral decision that is then affirmed by the BIA in summary affirmance or in a single</w:t>
      </w:r>
      <w:r w:rsidR="00877F28">
        <w:t>-</w:t>
      </w:r>
      <w:r w:rsidR="003B67C1">
        <w:t xml:space="preserve">paragraph decision without </w:t>
      </w:r>
      <w:r w:rsidR="003C4AFF">
        <w:t xml:space="preserve">providing </w:t>
      </w:r>
      <w:r w:rsidR="003B67C1">
        <w:t>any additional</w:t>
      </w:r>
      <w:r w:rsidR="003C4AFF">
        <w:t>, publicly-available</w:t>
      </w:r>
      <w:r w:rsidR="003B67C1">
        <w:t xml:space="preserve"> written </w:t>
      </w:r>
      <w:r w:rsidR="008324B2">
        <w:t>explanation</w:t>
      </w:r>
      <w:r w:rsidR="003B67C1">
        <w:t xml:space="preserve">. </w:t>
      </w:r>
      <w:r w:rsidR="00F8677A">
        <w:t>Thus, w</w:t>
      </w:r>
      <w:r w:rsidRPr="006D3942">
        <w:t xml:space="preserve">ithout transparency in the adjudication process, little information about </w:t>
      </w:r>
      <w:r w:rsidR="002D5386">
        <w:t>i</w:t>
      </w:r>
      <w:r w:rsidRPr="006D3942">
        <w:t xml:space="preserve">mmigration </w:t>
      </w:r>
      <w:r w:rsidR="002D5386">
        <w:t>c</w:t>
      </w:r>
      <w:r w:rsidRPr="006D3942">
        <w:t>ourt proceedings reaches the public.</w:t>
      </w:r>
    </w:p>
    <w:p w14:paraId="1B4D559B" w14:textId="3588ACDE" w:rsidR="006D3942" w:rsidRPr="006D3942" w:rsidRDefault="006D3942" w:rsidP="00695136">
      <w:pPr>
        <w:pStyle w:val="Document"/>
      </w:pPr>
      <w:r w:rsidRPr="006D3942">
        <w:t>However, the information that has been publicized raises serious questions about the way in which some IJs conduct themselves as independent adjudicators. The numbers alone demonstrate the problem. The Transactional Records Access Clearinghouse, a research initiative based at Syracuse University</w:t>
      </w:r>
      <w:r w:rsidR="002D5386">
        <w:t xml:space="preserve"> that</w:t>
      </w:r>
      <w:r w:rsidRPr="006D3942">
        <w:t xml:space="preserve"> provide</w:t>
      </w:r>
      <w:r w:rsidR="002D5386">
        <w:t>s</w:t>
      </w:r>
      <w:r w:rsidRPr="006D3942">
        <w:t xml:space="preserve"> public access to federal law enforcement data, report</w:t>
      </w:r>
      <w:r w:rsidR="00276B6E">
        <w:t>ed</w:t>
      </w:r>
      <w:r w:rsidRPr="006D3942">
        <w:t xml:space="preserve"> that individual</w:t>
      </w:r>
      <w:r w:rsidR="003C4AFF">
        <w:t>-</w:t>
      </w:r>
      <w:r w:rsidRPr="006D3942">
        <w:t>judge grant</w:t>
      </w:r>
      <w:r w:rsidR="003C4AFF">
        <w:t>-</w:t>
      </w:r>
      <w:r w:rsidRPr="006D3942">
        <w:t>rates for asylum from 2018 to 2023 var</w:t>
      </w:r>
      <w:r w:rsidR="00276B6E">
        <w:t>ied</w:t>
      </w:r>
      <w:r w:rsidRPr="006D3942">
        <w:t xml:space="preserve"> from 98.5% to 1.5%,</w:t>
      </w:r>
      <w:r w:rsidRPr="006D3942">
        <w:rPr>
          <w:rStyle w:val="NoteRefInText"/>
        </w:rPr>
        <w:footnoteReference w:id="74"/>
      </w:r>
      <w:r w:rsidR="00276B6E">
        <w:t xml:space="preserve"> </w:t>
      </w:r>
      <w:r w:rsidR="00276B6E" w:rsidRPr="00276B6E">
        <w:t>a range so shockingly wide that it raises serious concerns about whether IJs are applying anything approaching uniform and unbiased legal standards in adjudications</w:t>
      </w:r>
      <w:r w:rsidR="00276B6E">
        <w:t>.</w:t>
      </w:r>
      <w:r w:rsidRPr="006D3942">
        <w:t xml:space="preserve"> These startling numbers reflect what many advocates and federal judges have been complaining about for years:</w:t>
      </w:r>
      <w:r w:rsidR="003C4AFF">
        <w:t xml:space="preserve"> </w:t>
      </w:r>
      <w:r w:rsidR="00CB5D46">
        <w:t>A n</w:t>
      </w:r>
      <w:r w:rsidRPr="006D3942">
        <w:t>on-trivial number of IJs demonstrate incompetence, bias</w:t>
      </w:r>
      <w:r w:rsidR="002D5386">
        <w:t>,</w:t>
      </w:r>
      <w:r w:rsidRPr="006D3942">
        <w:t xml:space="preserve"> and overall unprofessionalism in their conduct and decisions</w:t>
      </w:r>
      <w:r w:rsidR="00F8677A">
        <w:t xml:space="preserve">—traits </w:t>
      </w:r>
      <w:r w:rsidRPr="006D3942">
        <w:t xml:space="preserve">which </w:t>
      </w:r>
      <w:r w:rsidR="00F8677A">
        <w:t xml:space="preserve">have </w:t>
      </w:r>
      <w:r w:rsidRPr="006D3942">
        <w:lastRenderedPageBreak/>
        <w:t>been left unchecked in a system defined by a culture of law enforcement rather than judicial ethics and consistent legal standards.</w:t>
      </w:r>
      <w:bookmarkStart w:id="26" w:name="_Ref177480525"/>
      <w:r w:rsidRPr="006D3942">
        <w:rPr>
          <w:rStyle w:val="NoteRefInText"/>
        </w:rPr>
        <w:footnoteReference w:id="75"/>
      </w:r>
      <w:bookmarkEnd w:id="26"/>
    </w:p>
    <w:p w14:paraId="4829C5FA" w14:textId="5D2F1C8B" w:rsidR="006D3942" w:rsidRPr="006D3942" w:rsidRDefault="006D3942" w:rsidP="00695136">
      <w:pPr>
        <w:pStyle w:val="Document"/>
      </w:pPr>
      <w:r w:rsidRPr="006D3942">
        <w:t xml:space="preserve">However, </w:t>
      </w:r>
      <w:r w:rsidR="00895F17">
        <w:t xml:space="preserve">one </w:t>
      </w:r>
      <w:r w:rsidR="00AE02A3">
        <w:t>of the</w:t>
      </w:r>
      <w:r w:rsidR="00AE02A3" w:rsidRPr="006D3942">
        <w:t xml:space="preserve"> </w:t>
      </w:r>
      <w:r w:rsidRPr="006D3942">
        <w:t xml:space="preserve">most striking attacks on the judicial independence of </w:t>
      </w:r>
      <w:r w:rsidR="002D730A">
        <w:t>i</w:t>
      </w:r>
      <w:r w:rsidRPr="006D3942">
        <w:t xml:space="preserve">mmigration </w:t>
      </w:r>
      <w:r w:rsidR="002D730A">
        <w:t>c</w:t>
      </w:r>
      <w:r w:rsidRPr="006D3942">
        <w:t>ourts in recent years h</w:t>
      </w:r>
      <w:r w:rsidR="00895F17">
        <w:t>as</w:t>
      </w:r>
      <w:r w:rsidRPr="006D3942">
        <w:t xml:space="preserve"> been the numerous self-certifications by the Attorney General during the </w:t>
      </w:r>
      <w:r w:rsidR="00095BF6">
        <w:t xml:space="preserve">first </w:t>
      </w:r>
      <w:r w:rsidRPr="006D3942">
        <w:t>Trump Administration</w:t>
      </w:r>
      <w:r w:rsidR="002D5386">
        <w:t>,</w:t>
      </w:r>
      <w:r w:rsidRPr="006D3942">
        <w:t xml:space="preserve"> which completely reshaped the legal landscape of immigration law based on largely political rationales.</w:t>
      </w:r>
      <w:r w:rsidRPr="006D3942">
        <w:rPr>
          <w:rStyle w:val="NoteRefInText"/>
        </w:rPr>
        <w:footnoteReference w:id="76"/>
      </w:r>
      <w:r w:rsidRPr="006D3942">
        <w:t xml:space="preserve"> Although certification has always been a tactic used to shape policy, during the Trump Administration, the Attorney General certified a record number of cases for self-review</w:t>
      </w:r>
      <w:r w:rsidR="006F380D">
        <w:t>—</w:t>
      </w:r>
      <w:r w:rsidRPr="006D3942">
        <w:t>more than twice as many as had been certified during the prior administration</w:t>
      </w:r>
      <w:r w:rsidR="006F380D">
        <w:t>—</w:t>
      </w:r>
      <w:r w:rsidRPr="006D3942">
        <w:t xml:space="preserve">in </w:t>
      </w:r>
      <w:r w:rsidR="0035098E">
        <w:t>just</w:t>
      </w:r>
      <w:r w:rsidRPr="006D3942">
        <w:t xml:space="preserve"> two years.</w:t>
      </w:r>
      <w:r w:rsidRPr="006D3942">
        <w:rPr>
          <w:rStyle w:val="NoteRefInText"/>
        </w:rPr>
        <w:footnoteReference w:id="77"/>
      </w:r>
      <w:r w:rsidRPr="006D3942">
        <w:t xml:space="preserve"> </w:t>
      </w:r>
      <w:r w:rsidR="00AE02A3">
        <w:t>For example, two</w:t>
      </w:r>
      <w:r w:rsidRPr="006D3942">
        <w:t xml:space="preserve"> notable cases certified during the </w:t>
      </w:r>
      <w:r w:rsidR="00FF594E">
        <w:t xml:space="preserve">first </w:t>
      </w:r>
      <w:r w:rsidRPr="006D3942">
        <w:t xml:space="preserve">Trump Administration by then Attorney General Jeff Sessions were </w:t>
      </w:r>
      <w:r w:rsidRPr="006D3942">
        <w:rPr>
          <w:i/>
          <w:iCs/>
        </w:rPr>
        <w:t>Matter of A-B-</w:t>
      </w:r>
      <w:r w:rsidRPr="006D3942">
        <w:rPr>
          <w:rStyle w:val="NoteRefInText"/>
        </w:rPr>
        <w:footnoteReference w:id="78"/>
      </w:r>
      <w:r w:rsidRPr="006D3942">
        <w:rPr>
          <w:i/>
          <w:iCs/>
        </w:rPr>
        <w:t xml:space="preserve"> </w:t>
      </w:r>
      <w:r w:rsidRPr="006D3942">
        <w:t>and</w:t>
      </w:r>
      <w:r w:rsidRPr="006D3942">
        <w:rPr>
          <w:i/>
          <w:iCs/>
        </w:rPr>
        <w:t xml:space="preserve"> </w:t>
      </w:r>
      <w:r w:rsidRPr="00564984">
        <w:rPr>
          <w:i/>
          <w:iCs/>
        </w:rPr>
        <w:t>M</w:t>
      </w:r>
      <w:r w:rsidRPr="006D3942">
        <w:rPr>
          <w:i/>
          <w:iCs/>
        </w:rPr>
        <w:t>atter of Castro-Tum</w:t>
      </w:r>
      <w:r w:rsidRPr="006D3942">
        <w:t>,</w:t>
      </w:r>
      <w:r w:rsidRPr="006D3942">
        <w:rPr>
          <w:rStyle w:val="NoteRefInText"/>
        </w:rPr>
        <w:footnoteReference w:id="79"/>
      </w:r>
      <w:r w:rsidRPr="006D3942">
        <w:t xml:space="preserve"> both of which significantly </w:t>
      </w:r>
      <w:r w:rsidR="00F8677A">
        <w:t xml:space="preserve">altered </w:t>
      </w:r>
      <w:r w:rsidRPr="006D3942">
        <w:t>the landscape of immigration law until the changes were reversed under the Biden Administration.</w:t>
      </w:r>
      <w:r w:rsidRPr="006D3942">
        <w:rPr>
          <w:rStyle w:val="NoteRefInText"/>
        </w:rPr>
        <w:footnoteReference w:id="80"/>
      </w:r>
      <w:r w:rsidRPr="006D3942">
        <w:t xml:space="preserve"> In </w:t>
      </w:r>
      <w:r w:rsidRPr="006D3942">
        <w:rPr>
          <w:i/>
          <w:iCs/>
        </w:rPr>
        <w:t>Matter of A-B-</w:t>
      </w:r>
      <w:r w:rsidRPr="006D3942">
        <w:t xml:space="preserve">, Attorney General Sessions overturned the landmark BIA case on gender-based protections </w:t>
      </w:r>
      <w:r w:rsidR="00890AE9">
        <w:t>that</w:t>
      </w:r>
      <w:r w:rsidRPr="006D3942">
        <w:t xml:space="preserve"> had recognized that victims of domestic violence constitute a cognizable particular social group for the purposes of asylum and related relief.</w:t>
      </w:r>
      <w:r w:rsidRPr="006D3942">
        <w:rPr>
          <w:rStyle w:val="NoteRefInText"/>
        </w:rPr>
        <w:footnoteReference w:id="81"/>
      </w:r>
      <w:r w:rsidRPr="006D3942">
        <w:t xml:space="preserve"> </w:t>
      </w:r>
      <w:r w:rsidR="00825361">
        <w:t>Overruling this precedent</w:t>
      </w:r>
      <w:r w:rsidRPr="006D3942">
        <w:t xml:space="preserve"> sent shockwaves throughout the immigration practice community </w:t>
      </w:r>
      <w:r w:rsidR="002A1EE7">
        <w:t xml:space="preserve">as it </w:t>
      </w:r>
      <w:r w:rsidRPr="006D3942">
        <w:t>deeply altered substantive law.</w:t>
      </w:r>
      <w:r w:rsidRPr="006D3942">
        <w:rPr>
          <w:rStyle w:val="NoteRefInText"/>
        </w:rPr>
        <w:footnoteReference w:id="82"/>
      </w:r>
    </w:p>
    <w:p w14:paraId="1CF0BCD0" w14:textId="2620835F" w:rsidR="006D3942" w:rsidRPr="006D3942" w:rsidRDefault="006D3942" w:rsidP="00695136">
      <w:pPr>
        <w:pStyle w:val="Document"/>
      </w:pPr>
      <w:r w:rsidRPr="006D3942">
        <w:t xml:space="preserve">In </w:t>
      </w:r>
      <w:r w:rsidRPr="006D3942">
        <w:rPr>
          <w:i/>
          <w:iCs/>
        </w:rPr>
        <w:t>Matter of Castro-Tum</w:t>
      </w:r>
      <w:r w:rsidRPr="006D3942">
        <w:t xml:space="preserve">, Attorney General Sessions attacked procedural measures that had been promulgated to ensure efficiency in the </w:t>
      </w:r>
      <w:r w:rsidR="002D730A">
        <w:t>i</w:t>
      </w:r>
      <w:r w:rsidRPr="006D3942">
        <w:t xml:space="preserve">mmigration </w:t>
      </w:r>
      <w:r w:rsidR="002D730A">
        <w:t>c</w:t>
      </w:r>
      <w:r w:rsidRPr="006D3942">
        <w:t xml:space="preserve">ourts, removing the right of IJs to administratively close </w:t>
      </w:r>
      <w:r w:rsidRPr="006D3942">
        <w:lastRenderedPageBreak/>
        <w:t>immigration proceedings</w:t>
      </w:r>
      <w:r w:rsidR="00883107" w:rsidRPr="00B053B5">
        <w:rPr>
          <w:rStyle w:val="NoteRefInText"/>
        </w:rPr>
        <w:footnoteReference w:id="83"/>
      </w:r>
      <w:r w:rsidRPr="006D3942">
        <w:t xml:space="preserve">—a tool for docket management </w:t>
      </w:r>
      <w:r w:rsidR="00890AE9">
        <w:t>that</w:t>
      </w:r>
      <w:r w:rsidRPr="006D3942">
        <w:t xml:space="preserve"> allows IJs to temporar</w:t>
      </w:r>
      <w:r w:rsidR="00890AE9">
        <w:t>il</w:t>
      </w:r>
      <w:r w:rsidRPr="006D3942">
        <w:t>y pause a person’s removal case and take it off of the active docket so that new hearings are not scheduled.</w:t>
      </w:r>
      <w:r w:rsidRPr="006D3942">
        <w:rPr>
          <w:rStyle w:val="NoteRefInText"/>
        </w:rPr>
        <w:footnoteReference w:id="84"/>
      </w:r>
      <w:r w:rsidRPr="006D3942">
        <w:t xml:space="preserve"> A common use of administrative closure is when a person in removal proceedings has applied and is likely eligible for a legal status </w:t>
      </w:r>
      <w:r w:rsidR="00890AE9">
        <w:t>that</w:t>
      </w:r>
      <w:r w:rsidRPr="006D3942">
        <w:t xml:space="preserve"> would allow them to remain in the country, but the adjudication of that legal status must be completed by United States Citizenship and Immigration Services (USCIS) rather than by the IJ in the removal process.</w:t>
      </w:r>
      <w:bookmarkStart w:id="27" w:name="_Ref181353337"/>
      <w:r w:rsidRPr="006D3942">
        <w:rPr>
          <w:rStyle w:val="NoteRefInText"/>
        </w:rPr>
        <w:footnoteReference w:id="85"/>
      </w:r>
      <w:bookmarkEnd w:id="27"/>
      <w:r w:rsidRPr="006D3942">
        <w:t xml:space="preserve"> By administratively closing proceedings, the IJ can put the removal case on pause until an adjudication by USCIS is complete.</w:t>
      </w:r>
      <w:r w:rsidRPr="006D3942">
        <w:rPr>
          <w:rStyle w:val="NoteRefInText"/>
        </w:rPr>
        <w:footnoteReference w:id="86"/>
      </w:r>
      <w:r w:rsidRPr="006D3942">
        <w:t xml:space="preserve"> </w:t>
      </w:r>
      <w:r w:rsidR="0057723C">
        <w:t>R</w:t>
      </w:r>
      <w:r w:rsidRPr="006D3942">
        <w:t xml:space="preserve">emoving the power to use this tool </w:t>
      </w:r>
      <w:r w:rsidR="0057723C">
        <w:t xml:space="preserve">meant that </w:t>
      </w:r>
      <w:r w:rsidRPr="006D3942">
        <w:t>hearings</w:t>
      </w:r>
      <w:r w:rsidR="0057723C">
        <w:t xml:space="preserve"> were required to</w:t>
      </w:r>
      <w:r w:rsidR="009F34C5">
        <w:t xml:space="preserve"> be finalized with removal a distinct possibility or that hearings would</w:t>
      </w:r>
      <w:r w:rsidRPr="006D3942">
        <w:t xml:space="preserve"> be continuously rescheduled while adjudication by USCIS was ongoing</w:t>
      </w:r>
      <w:r w:rsidR="009F34C5">
        <w:t>.</w:t>
      </w:r>
      <w:r w:rsidRPr="006D3942">
        <w:t xml:space="preserve"> </w:t>
      </w:r>
      <w:r w:rsidRPr="006D3942">
        <w:rPr>
          <w:i/>
          <w:iCs/>
        </w:rPr>
        <w:t>Matter of Castro-Tum</w:t>
      </w:r>
      <w:r w:rsidRPr="006D3942">
        <w:t xml:space="preserve"> increased the docket load on IJs, lowered productivity, and took away a valuable process for people eligible to remain in the United States with legal status to pursue those applications in front of USCIS.</w:t>
      </w:r>
      <w:r w:rsidRPr="006D3942">
        <w:rPr>
          <w:rStyle w:val="NoteRefInText"/>
        </w:rPr>
        <w:footnoteReference w:id="87"/>
      </w:r>
    </w:p>
    <w:p w14:paraId="4B0D916B" w14:textId="35D7C710" w:rsidR="006D3942" w:rsidRPr="006D3942" w:rsidRDefault="006D3942" w:rsidP="00695136">
      <w:pPr>
        <w:pStyle w:val="Document"/>
      </w:pPr>
      <w:r w:rsidRPr="006D3942">
        <w:t xml:space="preserve">Ultimately, both decisions led to significant restrictions in relief eligibility for noncitizens in removal proceedings by closing off both substantive and procedural avenues of protection at the unilateral direction of the </w:t>
      </w:r>
      <w:r w:rsidR="002D730A">
        <w:t>E</w:t>
      </w:r>
      <w:r w:rsidRPr="006D3942">
        <w:t xml:space="preserve">xecutive </w:t>
      </w:r>
      <w:r w:rsidR="002D730A">
        <w:t>B</w:t>
      </w:r>
      <w:r w:rsidRPr="006D3942">
        <w:t xml:space="preserve">ranch. Moreover, these actions led to much confusion in the federal courts, as </w:t>
      </w:r>
      <w:r w:rsidR="00BB7B59">
        <w:t>federal judges</w:t>
      </w:r>
      <w:r w:rsidR="00BB7B59" w:rsidRPr="006D3942">
        <w:t xml:space="preserve"> </w:t>
      </w:r>
      <w:r w:rsidRPr="006D3942">
        <w:t>began to raise questions about the scope of agency deference to the Attorney General in the face of seemingly politically</w:t>
      </w:r>
      <w:r w:rsidR="00F8677A">
        <w:t xml:space="preserve"> </w:t>
      </w:r>
      <w:r w:rsidRPr="006D3942">
        <w:t>motivated legal rulings.</w:t>
      </w:r>
      <w:r w:rsidRPr="006D3942">
        <w:rPr>
          <w:rStyle w:val="NoteRefInText"/>
        </w:rPr>
        <w:footnoteReference w:id="88"/>
      </w:r>
      <w:r w:rsidRPr="006D3942">
        <w:t xml:space="preserve"> For example, the Fifth Circuit has since rejected the Biden Administration’s decision vacating </w:t>
      </w:r>
      <w:r w:rsidRPr="006D3942">
        <w:rPr>
          <w:i/>
          <w:iCs/>
        </w:rPr>
        <w:t>Matter of A-B-</w:t>
      </w:r>
      <w:r w:rsidRPr="006D3942">
        <w:t xml:space="preserve"> and declined to extend deference to the new controlling precedent</w:t>
      </w:r>
      <w:r w:rsidR="00890AE9">
        <w:t>,</w:t>
      </w:r>
      <w:r w:rsidRPr="006D3942">
        <w:t xml:space="preserve"> leading to a circuit split on this issue that continues to cause confusion and a lack of uniformity.</w:t>
      </w:r>
      <w:r w:rsidRPr="006D3942">
        <w:rPr>
          <w:rStyle w:val="NoteRefInText"/>
        </w:rPr>
        <w:footnoteReference w:id="89"/>
      </w:r>
    </w:p>
    <w:p w14:paraId="4C058F16" w14:textId="3F7724D1" w:rsidR="006D3942" w:rsidRPr="006D3942" w:rsidRDefault="006D3942" w:rsidP="00695136">
      <w:pPr>
        <w:pStyle w:val="Document"/>
      </w:pPr>
      <w:r w:rsidRPr="006D3942">
        <w:lastRenderedPageBreak/>
        <w:t>The scope of executive control over EOIR is troubling for any system concerned with decisional independence</w:t>
      </w:r>
      <w:r w:rsidR="00F8677A">
        <w:t xml:space="preserve">; but it </w:t>
      </w:r>
      <w:r w:rsidRPr="006D3942">
        <w:t xml:space="preserve">is particularly </w:t>
      </w:r>
      <w:r w:rsidR="00F8677A">
        <w:t xml:space="preserve">worrisome </w:t>
      </w:r>
      <w:r w:rsidRPr="006D3942">
        <w:t>for a system that adjudicates issues as important as detention</w:t>
      </w:r>
      <w:r w:rsidR="00102343">
        <w:t xml:space="preserve">, </w:t>
      </w:r>
      <w:r w:rsidRPr="006D3942">
        <w:t>deportation</w:t>
      </w:r>
      <w:r w:rsidR="00102343">
        <w:t>, and the granting of benefits such as asylum to</w:t>
      </w:r>
      <w:r w:rsidRPr="006D3942">
        <w:t xml:space="preserve"> noncitizens</w:t>
      </w:r>
      <w:r w:rsidR="00F01F41">
        <w:t>, all of</w:t>
      </w:r>
      <w:r w:rsidR="00095C84">
        <w:t xml:space="preserve"> which require </w:t>
      </w:r>
      <w:r w:rsidR="00F8677A">
        <w:t xml:space="preserve">a </w:t>
      </w:r>
      <w:r w:rsidR="00AE1E4B">
        <w:t xml:space="preserve">probing judicial inquiry </w:t>
      </w:r>
      <w:r w:rsidR="00F01F41">
        <w:t>in each</w:t>
      </w:r>
      <w:r w:rsidR="00AE1E4B">
        <w:t xml:space="preserve"> case before an IJ</w:t>
      </w:r>
      <w:r w:rsidRPr="006D3942">
        <w:t>. As a result, calls to radically overhaul the immigration system and create a more independent court have gained support in the past several years, building on a long history of similar efforts to transform the system.</w:t>
      </w:r>
      <w:bookmarkStart w:id="28" w:name="_Ref177480533"/>
      <w:r w:rsidRPr="006D3942">
        <w:rPr>
          <w:rStyle w:val="NoteRefInText"/>
        </w:rPr>
        <w:footnoteReference w:id="90"/>
      </w:r>
      <w:bookmarkEnd w:id="28"/>
    </w:p>
    <w:p w14:paraId="518E59FD" w14:textId="4688F5E0" w:rsidR="006D3942" w:rsidRPr="006D3942" w:rsidRDefault="00900850" w:rsidP="00695136">
      <w:pPr>
        <w:pStyle w:val="Head1"/>
      </w:pPr>
      <w:bookmarkStart w:id="29" w:name="_Toc173015245"/>
      <w:bookmarkStart w:id="30" w:name="_Toc191465193"/>
      <w:r>
        <w:t>II.</w:t>
      </w:r>
      <w:r>
        <w:tab/>
      </w:r>
      <w:r w:rsidR="006D3942" w:rsidRPr="006D3942">
        <w:t xml:space="preserve">The Proposal for </w:t>
      </w:r>
      <w:r w:rsidR="002D730A">
        <w:t>a</w:t>
      </w:r>
      <w:r w:rsidR="006D3942" w:rsidRPr="006D3942">
        <w:t>n Article I Immigration Court</w:t>
      </w:r>
      <w:bookmarkEnd w:id="29"/>
      <w:bookmarkEnd w:id="30"/>
    </w:p>
    <w:p w14:paraId="1B689A95" w14:textId="58CC33DA" w:rsidR="006D3942" w:rsidRPr="006D3942" w:rsidRDefault="006D3942" w:rsidP="00695136">
      <w:pPr>
        <w:pStyle w:val="Document"/>
      </w:pPr>
      <w:r w:rsidRPr="006D3942">
        <w:t xml:space="preserve">Given the pervasive problems facing the </w:t>
      </w:r>
      <w:r w:rsidR="002D730A">
        <w:t>i</w:t>
      </w:r>
      <w:r w:rsidRPr="006D3942">
        <w:t xml:space="preserve">mmigration </w:t>
      </w:r>
      <w:r w:rsidR="002D730A">
        <w:t>c</w:t>
      </w:r>
      <w:r w:rsidRPr="006D3942">
        <w:t xml:space="preserve">ourts and the long history of their failure to function as a judicial body independent of the </w:t>
      </w:r>
      <w:r w:rsidR="002D730A">
        <w:t>E</w:t>
      </w:r>
      <w:r w:rsidRPr="006D3942">
        <w:t xml:space="preserve">xecutive </w:t>
      </w:r>
      <w:r w:rsidR="002D730A">
        <w:t>B</w:t>
      </w:r>
      <w:r w:rsidRPr="006D3942">
        <w:t xml:space="preserve">ranch, a systemic change is needed. Over the course of the past forty years, various proposals have been put forth to reshape the </w:t>
      </w:r>
      <w:r w:rsidR="00B41359">
        <w:t>i</w:t>
      </w:r>
      <w:r w:rsidRPr="006D3942">
        <w:t xml:space="preserve">mmigration </w:t>
      </w:r>
      <w:r w:rsidR="00B41359">
        <w:t>c</w:t>
      </w:r>
      <w:r w:rsidRPr="006D3942">
        <w:t xml:space="preserve">ourt system, with </w:t>
      </w:r>
      <w:r w:rsidR="00AE3393">
        <w:t>many</w:t>
      </w:r>
      <w:r w:rsidR="00AD77FB">
        <w:t xml:space="preserve"> systemic proposals</w:t>
      </w:r>
      <w:r w:rsidR="00AE3393" w:rsidRPr="006D3942">
        <w:t xml:space="preserve"> </w:t>
      </w:r>
      <w:r w:rsidRPr="006D3942">
        <w:t xml:space="preserve">focusing on the creation of an independent </w:t>
      </w:r>
      <w:r w:rsidR="00A57FC8">
        <w:t>i</w:t>
      </w:r>
      <w:r w:rsidRPr="006D3942">
        <w:t xml:space="preserve">mmigration </w:t>
      </w:r>
      <w:r w:rsidR="00A57FC8">
        <w:t>c</w:t>
      </w:r>
      <w:r w:rsidRPr="006D3942">
        <w:t>ourt under Article I of the Constitution. An Article</w:t>
      </w:r>
      <w:r w:rsidR="00C53639">
        <w:t> </w:t>
      </w:r>
      <w:r w:rsidRPr="006D3942">
        <w:t xml:space="preserve">I </w:t>
      </w:r>
      <w:r w:rsidR="00A57FC8">
        <w:t>i</w:t>
      </w:r>
      <w:r w:rsidRPr="006D3942">
        <w:t xml:space="preserve">mmigration </w:t>
      </w:r>
      <w:r w:rsidR="00A57FC8">
        <w:t>c</w:t>
      </w:r>
      <w:r w:rsidRPr="006D3942">
        <w:t>ourt would be modeled on the success of other movements to create specialized legislative courts under Article I</w:t>
      </w:r>
      <w:r w:rsidR="008F37E9">
        <w:t>,</w:t>
      </w:r>
      <w:r w:rsidRPr="006D3942">
        <w:t xml:space="preserve"> such as the U.S. </w:t>
      </w:r>
      <w:r w:rsidR="00A57FC8">
        <w:t>t</w:t>
      </w:r>
      <w:r w:rsidRPr="006D3942">
        <w:t xml:space="preserve">ax, </w:t>
      </w:r>
      <w:r w:rsidR="00A57FC8">
        <w:t>m</w:t>
      </w:r>
      <w:r w:rsidRPr="006D3942">
        <w:t>ilitary</w:t>
      </w:r>
      <w:r w:rsidR="00B41359">
        <w:t>,</w:t>
      </w:r>
      <w:r w:rsidRPr="006D3942">
        <w:t xml:space="preserve"> or </w:t>
      </w:r>
      <w:r w:rsidR="00A57FC8">
        <w:t>b</w:t>
      </w:r>
      <w:r w:rsidRPr="006D3942">
        <w:t xml:space="preserve">ankruptcy </w:t>
      </w:r>
      <w:r w:rsidR="00A57FC8">
        <w:t>c</w:t>
      </w:r>
      <w:r w:rsidRPr="006D3942">
        <w:t>ourts.</w:t>
      </w:r>
      <w:bookmarkStart w:id="31" w:name="_Ref177480492"/>
      <w:r w:rsidRPr="006D3942">
        <w:rPr>
          <w:rStyle w:val="NoteRefInText"/>
        </w:rPr>
        <w:footnoteReference w:id="91"/>
      </w:r>
      <w:bookmarkEnd w:id="31"/>
      <w:r w:rsidRPr="006D3942">
        <w:t xml:space="preserve"> The underlying rationale of this proposal for reform is to increase the judicial independence of immigration adjudication.</w:t>
      </w:r>
    </w:p>
    <w:p w14:paraId="0E8D87F2" w14:textId="4F195F44" w:rsidR="006D3942" w:rsidRPr="006D3942" w:rsidRDefault="006D3942" w:rsidP="00695136">
      <w:pPr>
        <w:pStyle w:val="Head2"/>
      </w:pPr>
      <w:bookmarkStart w:id="32" w:name="_Toc173015246"/>
      <w:bookmarkStart w:id="33" w:name="_Toc191465194"/>
      <w:r w:rsidRPr="006D3942">
        <w:t>A.</w:t>
      </w:r>
      <w:r w:rsidRPr="006D3942">
        <w:tab/>
        <w:t>Current Reform Through the Lens of Historical Proposals</w:t>
      </w:r>
      <w:bookmarkEnd w:id="32"/>
      <w:bookmarkEnd w:id="33"/>
    </w:p>
    <w:p w14:paraId="5F90BA01" w14:textId="37843FF2" w:rsidR="006D3942" w:rsidRPr="006D3942" w:rsidRDefault="006D3942" w:rsidP="00695136">
      <w:pPr>
        <w:pStyle w:val="Document"/>
        <w:rPr>
          <w:color w:val="000000"/>
        </w:rPr>
      </w:pPr>
      <w:r w:rsidRPr="006D3942">
        <w:rPr>
          <w:color w:val="000000"/>
        </w:rPr>
        <w:t>The Real Courts, Rule of Law Act of 2024</w:t>
      </w:r>
      <w:r w:rsidR="00B41359">
        <w:rPr>
          <w:color w:val="000000"/>
        </w:rPr>
        <w:t xml:space="preserve"> </w:t>
      </w:r>
      <w:r w:rsidRPr="006D3942">
        <w:rPr>
          <w:color w:val="000000"/>
        </w:rPr>
        <w:t>is the latest in a long line of proposals for an independent immigration court.</w:t>
      </w:r>
      <w:bookmarkStart w:id="34" w:name="_Ref177479738"/>
      <w:r w:rsidRPr="006D3942">
        <w:rPr>
          <w:rStyle w:val="NoteRefInText"/>
        </w:rPr>
        <w:footnoteReference w:id="92"/>
      </w:r>
      <w:bookmarkEnd w:id="34"/>
      <w:r w:rsidRPr="006D3942">
        <w:rPr>
          <w:color w:val="000000"/>
        </w:rPr>
        <w:t xml:space="preserve"> Since the 1980s, efforts to radically transform the immigration adjudication system have been periodically popular.</w:t>
      </w:r>
      <w:r w:rsidRPr="006D3942">
        <w:rPr>
          <w:rStyle w:val="NoteRefInText"/>
        </w:rPr>
        <w:footnoteReference w:id="93"/>
      </w:r>
      <w:r w:rsidRPr="006D3942">
        <w:rPr>
          <w:color w:val="000000"/>
        </w:rPr>
        <w:t xml:space="preserve"> One of the earliest proposals for an Article I </w:t>
      </w:r>
      <w:r w:rsidR="00A57FC8">
        <w:rPr>
          <w:color w:val="000000"/>
        </w:rPr>
        <w:t>i</w:t>
      </w:r>
      <w:r w:rsidRPr="006D3942">
        <w:rPr>
          <w:color w:val="000000"/>
        </w:rPr>
        <w:t xml:space="preserve">mmigration </w:t>
      </w:r>
      <w:r w:rsidR="00A57FC8">
        <w:rPr>
          <w:color w:val="000000"/>
        </w:rPr>
        <w:t>c</w:t>
      </w:r>
      <w:r w:rsidRPr="006D3942">
        <w:rPr>
          <w:color w:val="000000"/>
        </w:rPr>
        <w:t xml:space="preserve">ourt was put forth in 1980 when Peter Levinson, a consultant for the Select Commission on Immigration and Refugee Policy, submitted an unpublished memorandum to the committee calling for the creation of an Article I </w:t>
      </w:r>
      <w:r w:rsidR="00A57FC8">
        <w:rPr>
          <w:color w:val="000000"/>
        </w:rPr>
        <w:t>i</w:t>
      </w:r>
      <w:r w:rsidRPr="006D3942">
        <w:rPr>
          <w:color w:val="000000"/>
        </w:rPr>
        <w:t xml:space="preserve">mmigration </w:t>
      </w:r>
      <w:r w:rsidR="00A57FC8">
        <w:rPr>
          <w:color w:val="000000"/>
        </w:rPr>
        <w:t>c</w:t>
      </w:r>
      <w:r w:rsidRPr="006D3942">
        <w:rPr>
          <w:color w:val="000000"/>
        </w:rPr>
        <w:t>ourt after conducting an extensive investigation into the issues plaguing the system at that time.</w:t>
      </w:r>
      <w:bookmarkStart w:id="35" w:name="_Ref177479778"/>
      <w:r w:rsidRPr="006D3942">
        <w:rPr>
          <w:rStyle w:val="NoteRefInText"/>
        </w:rPr>
        <w:footnoteReference w:id="94"/>
      </w:r>
      <w:bookmarkEnd w:id="35"/>
      <w:r w:rsidRPr="006D3942">
        <w:rPr>
          <w:color w:val="000000"/>
        </w:rPr>
        <w:t xml:space="preserve"> That same year, Maurice </w:t>
      </w:r>
      <w:r w:rsidRPr="006D3942">
        <w:rPr>
          <w:color w:val="000000"/>
        </w:rPr>
        <w:lastRenderedPageBreak/>
        <w:t>Roberts, former chair of the BIA, proposed a bill</w:t>
      </w:r>
      <w:r w:rsidR="002A2428">
        <w:rPr>
          <w:color w:val="000000"/>
        </w:rPr>
        <w:t>,</w:t>
      </w:r>
      <w:r w:rsidRPr="006D3942">
        <w:rPr>
          <w:color w:val="000000"/>
        </w:rPr>
        <w:t xml:space="preserve"> modeled after draft legislation from Levinson and a similar bill from the NAIJ</w:t>
      </w:r>
      <w:r w:rsidR="002A2428">
        <w:rPr>
          <w:color w:val="000000"/>
        </w:rPr>
        <w:t>,</w:t>
      </w:r>
      <w:r w:rsidRPr="006D3942">
        <w:rPr>
          <w:rStyle w:val="NoteRefInText"/>
        </w:rPr>
        <w:footnoteReference w:id="95"/>
      </w:r>
      <w:r w:rsidRPr="006D3942">
        <w:rPr>
          <w:color w:val="000000"/>
        </w:rPr>
        <w:t xml:space="preserve"> to turn the </w:t>
      </w:r>
      <w:r w:rsidR="002D730A">
        <w:rPr>
          <w:color w:val="000000"/>
        </w:rPr>
        <w:t>i</w:t>
      </w:r>
      <w:r w:rsidRPr="006D3942">
        <w:rPr>
          <w:color w:val="000000"/>
        </w:rPr>
        <w:t xml:space="preserve">mmigration </w:t>
      </w:r>
      <w:r w:rsidR="002D730A">
        <w:rPr>
          <w:color w:val="000000"/>
        </w:rPr>
        <w:t>c</w:t>
      </w:r>
      <w:r w:rsidRPr="006D3942">
        <w:rPr>
          <w:color w:val="000000"/>
        </w:rPr>
        <w:t xml:space="preserve">ourts into Article I </w:t>
      </w:r>
      <w:r w:rsidR="00B41359">
        <w:rPr>
          <w:color w:val="000000"/>
        </w:rPr>
        <w:t>c</w:t>
      </w:r>
      <w:r w:rsidRPr="006D3942">
        <w:rPr>
          <w:color w:val="000000"/>
        </w:rPr>
        <w:t>ourts.</w:t>
      </w:r>
      <w:r w:rsidRPr="006D3942">
        <w:rPr>
          <w:rStyle w:val="NoteRefInText"/>
        </w:rPr>
        <w:footnoteReference w:id="96"/>
      </w:r>
      <w:r w:rsidRPr="006D3942">
        <w:rPr>
          <w:color w:val="000000"/>
        </w:rPr>
        <w:t xml:space="preserve"> Roberts’</w:t>
      </w:r>
      <w:r w:rsidR="002A2428">
        <w:rPr>
          <w:color w:val="000000"/>
        </w:rPr>
        <w:t>s</w:t>
      </w:r>
      <w:r w:rsidRPr="006D3942">
        <w:rPr>
          <w:color w:val="000000"/>
        </w:rPr>
        <w:t xml:space="preserve"> proposal </w:t>
      </w:r>
      <w:r w:rsidR="00D14C54">
        <w:rPr>
          <w:color w:val="000000"/>
        </w:rPr>
        <w:t xml:space="preserve">to create a new court system </w:t>
      </w:r>
      <w:r w:rsidRPr="006D3942">
        <w:rPr>
          <w:color w:val="000000"/>
        </w:rPr>
        <w:t>was met with scholarly interest.</w:t>
      </w:r>
      <w:bookmarkStart w:id="36" w:name="_Ref177479810"/>
      <w:r w:rsidRPr="006D3942">
        <w:rPr>
          <w:rStyle w:val="NoteRefInText"/>
        </w:rPr>
        <w:footnoteReference w:id="97"/>
      </w:r>
      <w:bookmarkEnd w:id="36"/>
    </w:p>
    <w:p w14:paraId="3183B5A3" w14:textId="575C8641" w:rsidR="006D3942" w:rsidRPr="006D3942" w:rsidRDefault="006D3942" w:rsidP="00695136">
      <w:pPr>
        <w:pStyle w:val="Document"/>
        <w:rPr>
          <w:color w:val="000000"/>
        </w:rPr>
      </w:pPr>
      <w:r w:rsidRPr="006D3942">
        <w:rPr>
          <w:color w:val="000000"/>
        </w:rPr>
        <w:t xml:space="preserve">Roberts identified three primary issues with the immigration adjudication system in 1980 that </w:t>
      </w:r>
      <w:r w:rsidR="005B0981">
        <w:rPr>
          <w:color w:val="000000"/>
        </w:rPr>
        <w:t xml:space="preserve">persist </w:t>
      </w:r>
      <w:r w:rsidRPr="006D3942">
        <w:rPr>
          <w:color w:val="000000"/>
        </w:rPr>
        <w:t xml:space="preserve">today: (1) the lack of qualified </w:t>
      </w:r>
      <w:r w:rsidR="002A2428">
        <w:rPr>
          <w:color w:val="000000"/>
        </w:rPr>
        <w:t>i</w:t>
      </w:r>
      <w:r w:rsidRPr="006D3942">
        <w:rPr>
          <w:color w:val="000000"/>
        </w:rPr>
        <w:t xml:space="preserve">mmigration </w:t>
      </w:r>
      <w:r w:rsidR="002A2428">
        <w:rPr>
          <w:color w:val="000000"/>
        </w:rPr>
        <w:t>j</w:t>
      </w:r>
      <w:r w:rsidRPr="006D3942">
        <w:rPr>
          <w:color w:val="000000"/>
        </w:rPr>
        <w:t xml:space="preserve">udges; (2) the lack of judicial independence of the </w:t>
      </w:r>
      <w:r w:rsidR="002A2428">
        <w:rPr>
          <w:color w:val="000000"/>
        </w:rPr>
        <w:t>i</w:t>
      </w:r>
      <w:r w:rsidRPr="006D3942">
        <w:rPr>
          <w:color w:val="000000"/>
        </w:rPr>
        <w:t xml:space="preserve">mmigration </w:t>
      </w:r>
      <w:r w:rsidR="002A2428">
        <w:rPr>
          <w:color w:val="000000"/>
        </w:rPr>
        <w:t>c</w:t>
      </w:r>
      <w:r w:rsidRPr="006D3942">
        <w:rPr>
          <w:color w:val="000000"/>
        </w:rPr>
        <w:t>ourt</w:t>
      </w:r>
      <w:r w:rsidR="002A2428">
        <w:rPr>
          <w:color w:val="000000"/>
        </w:rPr>
        <w:t>s</w:t>
      </w:r>
      <w:r w:rsidRPr="006D3942">
        <w:rPr>
          <w:color w:val="000000"/>
        </w:rPr>
        <w:t xml:space="preserve"> from immigration enforcement agencies; and (3) the lack of resources allocated to the court to complete adjudications.</w:t>
      </w:r>
      <w:r w:rsidRPr="006D3942">
        <w:rPr>
          <w:rStyle w:val="NoteRefInText"/>
        </w:rPr>
        <w:footnoteReference w:id="98"/>
      </w:r>
      <w:r w:rsidRPr="006D3942">
        <w:rPr>
          <w:color w:val="000000"/>
        </w:rPr>
        <w:t xml:space="preserve"> Roberts’</w:t>
      </w:r>
      <w:r w:rsidR="002A2428">
        <w:rPr>
          <w:color w:val="000000"/>
        </w:rPr>
        <w:t>s</w:t>
      </w:r>
      <w:r w:rsidR="001170BC">
        <w:rPr>
          <w:color w:val="000000"/>
        </w:rPr>
        <w:t xml:space="preserve"> proposal for a </w:t>
      </w:r>
      <w:r w:rsidRPr="006D3942">
        <w:rPr>
          <w:color w:val="000000"/>
        </w:rPr>
        <w:t xml:space="preserve">new Article I </w:t>
      </w:r>
      <w:r w:rsidR="00A57FC8">
        <w:rPr>
          <w:color w:val="000000"/>
        </w:rPr>
        <w:t>i</w:t>
      </w:r>
      <w:r w:rsidRPr="006D3942">
        <w:rPr>
          <w:color w:val="000000"/>
        </w:rPr>
        <w:t xml:space="preserve">mmigration </w:t>
      </w:r>
      <w:r w:rsidR="00A57FC8">
        <w:rPr>
          <w:color w:val="000000"/>
        </w:rPr>
        <w:t>c</w:t>
      </w:r>
      <w:r w:rsidRPr="006D3942">
        <w:rPr>
          <w:color w:val="000000"/>
        </w:rPr>
        <w:t>ourt called for the establishment of a presidential</w:t>
      </w:r>
      <w:r w:rsidR="005B0981">
        <w:rPr>
          <w:color w:val="000000"/>
        </w:rPr>
        <w:t>-</w:t>
      </w:r>
      <w:r w:rsidRPr="006D3942">
        <w:rPr>
          <w:color w:val="000000"/>
        </w:rPr>
        <w:t>appointment and Senate</w:t>
      </w:r>
      <w:r w:rsidR="005B0981">
        <w:rPr>
          <w:color w:val="000000"/>
        </w:rPr>
        <w:t>-</w:t>
      </w:r>
      <w:r w:rsidRPr="006D3942">
        <w:rPr>
          <w:color w:val="000000"/>
        </w:rPr>
        <w:t xml:space="preserve">confirmation process for the </w:t>
      </w:r>
      <w:r w:rsidR="002A2428">
        <w:rPr>
          <w:color w:val="000000"/>
        </w:rPr>
        <w:t xml:space="preserve">court’s </w:t>
      </w:r>
      <w:r w:rsidRPr="006D3942">
        <w:rPr>
          <w:color w:val="000000"/>
        </w:rPr>
        <w:t>new judges</w:t>
      </w:r>
      <w:r w:rsidR="002A2428">
        <w:rPr>
          <w:color w:val="000000"/>
        </w:rPr>
        <w:t>,</w:t>
      </w:r>
      <w:r w:rsidRPr="006D3942">
        <w:rPr>
          <w:color w:val="000000"/>
        </w:rPr>
        <w:t xml:space="preserve"> who would serve a term of fifteen years and receive compensation on the same pay scale as other federal judges.</w:t>
      </w:r>
      <w:r w:rsidRPr="006D3942">
        <w:rPr>
          <w:rStyle w:val="NoteRefInText"/>
        </w:rPr>
        <w:footnoteReference w:id="99"/>
      </w:r>
      <w:r w:rsidRPr="006D3942">
        <w:rPr>
          <w:color w:val="000000"/>
        </w:rPr>
        <w:t xml:space="preserve"> His proposal also called for protections from removal without cause by only permitting removal initiated by the President in limited circumstances where</w:t>
      </w:r>
      <w:r w:rsidR="001170BC">
        <w:rPr>
          <w:color w:val="000000"/>
        </w:rPr>
        <w:t>, for example,</w:t>
      </w:r>
      <w:r w:rsidRPr="006D3942">
        <w:rPr>
          <w:color w:val="000000"/>
        </w:rPr>
        <w:t xml:space="preserve"> the judge had engaged in judicial misconduct</w:t>
      </w:r>
      <w:r w:rsidR="005B0981">
        <w:rPr>
          <w:color w:val="000000"/>
        </w:rPr>
        <w:t>,</w:t>
      </w:r>
      <w:r w:rsidRPr="006D3942">
        <w:rPr>
          <w:color w:val="000000"/>
        </w:rPr>
        <w:t xml:space="preserve"> and by requiring a hearing process before a panel of federal judges before removal could take place.</w:t>
      </w:r>
      <w:r w:rsidRPr="006D3942">
        <w:rPr>
          <w:rStyle w:val="NoteRefInText"/>
        </w:rPr>
        <w:footnoteReference w:id="100"/>
      </w:r>
      <w:r w:rsidRPr="006D3942">
        <w:rPr>
          <w:color w:val="000000"/>
        </w:rPr>
        <w:t xml:space="preserve"> His plan was not without its </w:t>
      </w:r>
      <w:r w:rsidR="00DF707C">
        <w:rPr>
          <w:color w:val="000000"/>
        </w:rPr>
        <w:t xml:space="preserve">valid </w:t>
      </w:r>
      <w:r w:rsidRPr="006D3942">
        <w:rPr>
          <w:color w:val="000000"/>
        </w:rPr>
        <w:t xml:space="preserve">critics, including </w:t>
      </w:r>
      <w:r w:rsidR="005B0981">
        <w:rPr>
          <w:color w:val="000000"/>
        </w:rPr>
        <w:t xml:space="preserve">those who were </w:t>
      </w:r>
      <w:r w:rsidRPr="006D3942">
        <w:rPr>
          <w:color w:val="000000"/>
        </w:rPr>
        <w:t>concerned his plan did not allow for appeals outside of the newly established appellate division of the Article I court to a</w:t>
      </w:r>
      <w:r w:rsidR="001170BC">
        <w:rPr>
          <w:color w:val="000000"/>
        </w:rPr>
        <w:t xml:space="preserve"> lower </w:t>
      </w:r>
      <w:r w:rsidRPr="006D3942">
        <w:rPr>
          <w:color w:val="000000"/>
        </w:rPr>
        <w:t>Article II</w:t>
      </w:r>
      <w:r w:rsidR="002A2428">
        <w:rPr>
          <w:color w:val="000000"/>
        </w:rPr>
        <w:t>I</w:t>
      </w:r>
      <w:r w:rsidRPr="006D3942">
        <w:rPr>
          <w:color w:val="000000"/>
        </w:rPr>
        <w:t xml:space="preserve"> court</w:t>
      </w:r>
      <w:r w:rsidR="005B0981">
        <w:rPr>
          <w:color w:val="000000"/>
        </w:rPr>
        <w:t xml:space="preserve">, such as </w:t>
      </w:r>
      <w:r w:rsidR="001170BC">
        <w:rPr>
          <w:color w:val="000000"/>
        </w:rPr>
        <w:t>a</w:t>
      </w:r>
      <w:r w:rsidRPr="006D3942">
        <w:rPr>
          <w:color w:val="000000"/>
        </w:rPr>
        <w:t xml:space="preserve"> </w:t>
      </w:r>
      <w:r w:rsidR="00D807A4">
        <w:rPr>
          <w:color w:val="000000"/>
        </w:rPr>
        <w:t>U.S.</w:t>
      </w:r>
      <w:r w:rsidRPr="006D3942">
        <w:rPr>
          <w:color w:val="000000"/>
        </w:rPr>
        <w:t xml:space="preserve"> Court of Appeals.</w:t>
      </w:r>
      <w:bookmarkStart w:id="37" w:name="_Ref177479956"/>
      <w:r w:rsidRPr="006D3942">
        <w:rPr>
          <w:rStyle w:val="NoteRefInText"/>
        </w:rPr>
        <w:footnoteReference w:id="101"/>
      </w:r>
      <w:bookmarkEnd w:id="37"/>
    </w:p>
    <w:p w14:paraId="23C5FB86" w14:textId="13976201" w:rsidR="006D3942" w:rsidRPr="006D3942" w:rsidRDefault="006D3942" w:rsidP="00695136">
      <w:pPr>
        <w:pStyle w:val="Document"/>
        <w:rPr>
          <w:color w:val="000000"/>
        </w:rPr>
      </w:pPr>
      <w:r w:rsidRPr="006D3942">
        <w:rPr>
          <w:color w:val="000000"/>
        </w:rPr>
        <w:t>Roberts’</w:t>
      </w:r>
      <w:r w:rsidR="002A2428">
        <w:rPr>
          <w:color w:val="000000"/>
        </w:rPr>
        <w:t>s</w:t>
      </w:r>
      <w:r w:rsidRPr="006D3942">
        <w:rPr>
          <w:color w:val="000000"/>
        </w:rPr>
        <w:t xml:space="preserve"> plan was motivated by a recognition of the fundamental liberty interests involved in deportation and the increasing acknowledgment of discrimination facing noncitizens.</w:t>
      </w:r>
      <w:r w:rsidRPr="006D3942">
        <w:rPr>
          <w:rStyle w:val="NoteRefInText"/>
        </w:rPr>
        <w:footnoteReference w:id="102"/>
      </w:r>
      <w:r w:rsidRPr="006D3942">
        <w:rPr>
          <w:color w:val="000000"/>
        </w:rPr>
        <w:t xml:space="preserve"> As Roberts put it:</w:t>
      </w:r>
    </w:p>
    <w:p w14:paraId="01BA9F46" w14:textId="3197738A" w:rsidR="001170BC" w:rsidRPr="001170BC" w:rsidRDefault="006D3942" w:rsidP="00695136">
      <w:pPr>
        <w:pStyle w:val="1stBlockQuoteTXT"/>
      </w:pPr>
      <w:r w:rsidRPr="006D3942">
        <w:t>[T]he issues that now arise in deportation and exclusion cases are precisely the sort that have been traditionally entrusted to the courts</w:t>
      </w:r>
      <w:r w:rsidR="001170BC">
        <w:t>.</w:t>
      </w:r>
      <w:r w:rsidR="003116ED" w:rsidRPr="006D3942">
        <w:t> </w:t>
      </w:r>
      <w:r w:rsidRPr="006D3942">
        <w:t xml:space="preserve">. . . [T]he courts are sensitive to the fact that what is </w:t>
      </w:r>
      <w:proofErr w:type="gramStart"/>
      <w:r w:rsidRPr="006D3942">
        <w:t>actually at</w:t>
      </w:r>
      <w:proofErr w:type="gramEnd"/>
      <w:r w:rsidRPr="006D3942">
        <w:t xml:space="preserve"> stake is the freedom of an individual</w:t>
      </w:r>
      <w:r w:rsidR="00626B75">
        <w:t> </w:t>
      </w:r>
      <w:r w:rsidR="001170BC">
        <w:t>.</w:t>
      </w:r>
      <w:r w:rsidR="003116ED" w:rsidRPr="006D3942">
        <w:t> </w:t>
      </w:r>
      <w:r w:rsidRPr="006D3942">
        <w:t>. . .</w:t>
      </w:r>
      <w:r w:rsidR="00626B75">
        <w:t> </w:t>
      </w:r>
      <w:r w:rsidRPr="006D3942">
        <w:t xml:space="preserve">The </w:t>
      </w:r>
      <w:r w:rsidR="003116ED" w:rsidRPr="006D3942">
        <w:t>jealously guarded</w:t>
      </w:r>
      <w:r w:rsidRPr="006D3942">
        <w:t xml:space="preserve"> separation of functions principle makes for a judicial tradition of independence that renders courts less likely than other agencies of government to yield to political pressures.</w:t>
      </w:r>
      <w:r w:rsidRPr="006D3942">
        <w:rPr>
          <w:rStyle w:val="NoteRefInText"/>
          <w:sz w:val="21"/>
        </w:rPr>
        <w:footnoteReference w:id="103"/>
      </w:r>
    </w:p>
    <w:p w14:paraId="78920993" w14:textId="60588EB4" w:rsidR="006D3942" w:rsidRPr="006D3942" w:rsidRDefault="006D3942" w:rsidP="00695136">
      <w:pPr>
        <w:pStyle w:val="Document"/>
        <w:rPr>
          <w:color w:val="000000"/>
        </w:rPr>
      </w:pPr>
      <w:r w:rsidRPr="006D3942">
        <w:rPr>
          <w:color w:val="000000"/>
        </w:rPr>
        <w:t>The following year</w:t>
      </w:r>
      <w:r w:rsidR="002A2428">
        <w:rPr>
          <w:color w:val="000000"/>
        </w:rPr>
        <w:t>,</w:t>
      </w:r>
      <w:r w:rsidRPr="006D3942">
        <w:rPr>
          <w:color w:val="000000"/>
        </w:rPr>
        <w:t xml:space="preserve"> Levinson published his own article detailing the problems inherent with the </w:t>
      </w:r>
      <w:r w:rsidR="002A2428">
        <w:rPr>
          <w:color w:val="000000"/>
        </w:rPr>
        <w:t>i</w:t>
      </w:r>
      <w:r w:rsidRPr="006D3942">
        <w:rPr>
          <w:color w:val="000000"/>
        </w:rPr>
        <w:t xml:space="preserve">mmigration </w:t>
      </w:r>
      <w:r w:rsidR="002A2428">
        <w:rPr>
          <w:color w:val="000000"/>
        </w:rPr>
        <w:t>c</w:t>
      </w:r>
      <w:r w:rsidRPr="006D3942">
        <w:rPr>
          <w:color w:val="000000"/>
        </w:rPr>
        <w:t xml:space="preserve">ourt system, stating that “[t]he </w:t>
      </w:r>
      <w:r w:rsidRPr="006D3942">
        <w:rPr>
          <w:color w:val="000000"/>
        </w:rPr>
        <w:lastRenderedPageBreak/>
        <w:t>Attorney General’s ability to review Board decisions inappropriately injects a law enforcement official into a quasi-judicial appellate process . . . [and] compromises the appearance of independent Board decisionmaking.”</w:t>
      </w:r>
      <w:r w:rsidRPr="006D3942">
        <w:rPr>
          <w:rStyle w:val="NoteRefInText"/>
        </w:rPr>
        <w:footnoteReference w:id="104"/>
      </w:r>
      <w:r w:rsidRPr="006D3942">
        <w:rPr>
          <w:color w:val="000000"/>
        </w:rPr>
        <w:t xml:space="preserve"> Like Roberts, Levinson also </w:t>
      </w:r>
      <w:r w:rsidR="007C3679">
        <w:rPr>
          <w:color w:val="000000"/>
        </w:rPr>
        <w:t xml:space="preserve">argued </w:t>
      </w:r>
      <w:r w:rsidRPr="006D3942">
        <w:rPr>
          <w:color w:val="000000"/>
        </w:rPr>
        <w:t>that it was necessary to establish a system with stronger judicial values because only American courts are capable of making decisions about the fundamental rights and liberties of individuals “without bowing to political expediency.”</w:t>
      </w:r>
      <w:r w:rsidRPr="006D3942">
        <w:rPr>
          <w:rStyle w:val="NoteRefInText"/>
        </w:rPr>
        <w:footnoteReference w:id="105"/>
      </w:r>
    </w:p>
    <w:p w14:paraId="5A0E82C6" w14:textId="47F54BF7" w:rsidR="006D3942" w:rsidRPr="006D3942" w:rsidRDefault="006D3942" w:rsidP="00695136">
      <w:pPr>
        <w:pStyle w:val="Document"/>
        <w:rPr>
          <w:color w:val="000000"/>
        </w:rPr>
      </w:pPr>
      <w:r w:rsidRPr="006D3942">
        <w:rPr>
          <w:color w:val="000000"/>
        </w:rPr>
        <w:t>That same year, the Select Commi</w:t>
      </w:r>
      <w:r w:rsidR="00C84274">
        <w:rPr>
          <w:color w:val="000000"/>
        </w:rPr>
        <w:t>ssion</w:t>
      </w:r>
      <w:r w:rsidR="008F37E9">
        <w:rPr>
          <w:color w:val="000000"/>
        </w:rPr>
        <w:t xml:space="preserve"> on Immigration and Refugee Policy </w:t>
      </w:r>
      <w:r w:rsidRPr="006D3942">
        <w:rPr>
          <w:color w:val="000000"/>
        </w:rPr>
        <w:t>issued a final report recommending that Congress establish an independent immigration court under Article I without endorsing a particular proposal.</w:t>
      </w:r>
      <w:r w:rsidRPr="006D3942">
        <w:rPr>
          <w:rStyle w:val="NoteRefInText"/>
        </w:rPr>
        <w:footnoteReference w:id="106"/>
      </w:r>
      <w:r w:rsidRPr="006D3942">
        <w:rPr>
          <w:color w:val="000000"/>
        </w:rPr>
        <w:t xml:space="preserve"> The first legislative proposal was introduced a year later in 1982 </w:t>
      </w:r>
      <w:r w:rsidR="00C84274">
        <w:rPr>
          <w:color w:val="000000"/>
        </w:rPr>
        <w:t>by</w:t>
      </w:r>
      <w:r w:rsidRPr="006D3942">
        <w:rPr>
          <w:color w:val="000000"/>
        </w:rPr>
        <w:t xml:space="preserve"> a bipartisan coalition of fifteen congressional representatives led by Rep</w:t>
      </w:r>
      <w:r w:rsidR="00075952">
        <w:rPr>
          <w:color w:val="000000"/>
        </w:rPr>
        <w:t>resentative</w:t>
      </w:r>
      <w:r w:rsidRPr="006D3942">
        <w:rPr>
          <w:color w:val="000000"/>
        </w:rPr>
        <w:t xml:space="preserve"> Bill McCollum</w:t>
      </w:r>
      <w:r w:rsidR="00A801FD">
        <w:rPr>
          <w:color w:val="000000"/>
        </w:rPr>
        <w:t>, a Republican from Florida</w:t>
      </w:r>
      <w:r w:rsidRPr="006D3942">
        <w:rPr>
          <w:color w:val="000000"/>
        </w:rPr>
        <w:t>.</w:t>
      </w:r>
      <w:bookmarkStart w:id="38" w:name="_Ref181453650"/>
      <w:r w:rsidRPr="006D3942">
        <w:rPr>
          <w:rStyle w:val="NoteRefInText"/>
        </w:rPr>
        <w:footnoteReference w:id="107"/>
      </w:r>
      <w:bookmarkEnd w:id="38"/>
      <w:r w:rsidRPr="006D3942">
        <w:rPr>
          <w:color w:val="000000"/>
        </w:rPr>
        <w:t xml:space="preserve"> One of the bill’s Democratic co-sponsors introduced an</w:t>
      </w:r>
      <w:r w:rsidR="001170BC">
        <w:rPr>
          <w:color w:val="000000"/>
        </w:rPr>
        <w:t>other reform</w:t>
      </w:r>
      <w:r w:rsidRPr="006D3942">
        <w:rPr>
          <w:color w:val="000000"/>
        </w:rPr>
        <w:t xml:space="preserve"> bill a few days later.</w:t>
      </w:r>
      <w:bookmarkStart w:id="39" w:name="_Ref181453665"/>
      <w:r w:rsidRPr="006D3942">
        <w:rPr>
          <w:rStyle w:val="NoteRefInText"/>
        </w:rPr>
        <w:footnoteReference w:id="108"/>
      </w:r>
      <w:bookmarkEnd w:id="39"/>
      <w:r w:rsidR="008F66D0">
        <w:rPr>
          <w:color w:val="000000"/>
        </w:rPr>
        <w:t xml:space="preserve"> </w:t>
      </w:r>
      <w:r w:rsidRPr="006D3942">
        <w:rPr>
          <w:color w:val="000000"/>
        </w:rPr>
        <w:t>Neither</w:t>
      </w:r>
      <w:r w:rsidR="001170BC">
        <w:rPr>
          <w:color w:val="000000"/>
        </w:rPr>
        <w:t xml:space="preserve"> </w:t>
      </w:r>
      <w:r w:rsidRPr="006D3942">
        <w:rPr>
          <w:color w:val="000000"/>
        </w:rPr>
        <w:t>proposal w</w:t>
      </w:r>
      <w:r w:rsidR="001170BC">
        <w:rPr>
          <w:color w:val="000000"/>
        </w:rPr>
        <w:t>as</w:t>
      </w:r>
      <w:r w:rsidRPr="006D3942">
        <w:rPr>
          <w:color w:val="000000"/>
        </w:rPr>
        <w:t xml:space="preserve"> successful.</w:t>
      </w:r>
      <w:r w:rsidRPr="006D3942">
        <w:rPr>
          <w:rStyle w:val="NoteRefInText"/>
        </w:rPr>
        <w:footnoteReference w:id="109"/>
      </w:r>
      <w:r w:rsidRPr="006D3942">
        <w:rPr>
          <w:color w:val="000000"/>
        </w:rPr>
        <w:t xml:space="preserve"> Rep</w:t>
      </w:r>
      <w:r w:rsidR="00075952">
        <w:rPr>
          <w:color w:val="000000"/>
        </w:rPr>
        <w:t>resentative</w:t>
      </w:r>
      <w:r w:rsidRPr="006D3942">
        <w:rPr>
          <w:color w:val="000000"/>
        </w:rPr>
        <w:t xml:space="preserve"> McCollum went on to introduce three subsequent bills to create an Article I immigration court throughout the late 1990s, all of which ultimately failed to advance.</w:t>
      </w:r>
      <w:r w:rsidRPr="006D3942">
        <w:rPr>
          <w:rStyle w:val="NoteRefInText"/>
        </w:rPr>
        <w:footnoteReference w:id="110"/>
      </w:r>
      <w:r w:rsidRPr="006D3942">
        <w:rPr>
          <w:color w:val="000000"/>
        </w:rPr>
        <w:t xml:space="preserve"> These bills were modeled after the Roberts </w:t>
      </w:r>
      <w:r w:rsidR="005B0981">
        <w:rPr>
          <w:color w:val="000000"/>
        </w:rPr>
        <w:t xml:space="preserve">plan </w:t>
      </w:r>
      <w:r w:rsidRPr="006D3942">
        <w:rPr>
          <w:color w:val="000000"/>
        </w:rPr>
        <w:t>with some modifications, including</w:t>
      </w:r>
      <w:r w:rsidR="0025365B">
        <w:rPr>
          <w:color w:val="000000"/>
        </w:rPr>
        <w:t xml:space="preserve"> a </w:t>
      </w:r>
      <w:r w:rsidR="00765362">
        <w:rPr>
          <w:color w:val="000000"/>
        </w:rPr>
        <w:t>proposal</w:t>
      </w:r>
      <w:r w:rsidR="0025365B">
        <w:rPr>
          <w:color w:val="000000"/>
        </w:rPr>
        <w:t xml:space="preserve"> to </w:t>
      </w:r>
      <w:r w:rsidR="001170BC">
        <w:rPr>
          <w:color w:val="000000"/>
        </w:rPr>
        <w:t>send all appeals to the Federal Court of Appeals for the Federal Circuit rather than only allowing appeals</w:t>
      </w:r>
      <w:r w:rsidRPr="006D3942">
        <w:rPr>
          <w:color w:val="000000"/>
        </w:rPr>
        <w:t xml:space="preserve"> to the Supreme Court on a petition for certiorari</w:t>
      </w:r>
      <w:r w:rsidR="005B0981">
        <w:rPr>
          <w:color w:val="000000"/>
        </w:rPr>
        <w:t xml:space="preserve"> (</w:t>
      </w:r>
      <w:r w:rsidR="001170BC">
        <w:rPr>
          <w:color w:val="000000"/>
        </w:rPr>
        <w:t xml:space="preserve">as Roberts </w:t>
      </w:r>
      <w:r w:rsidR="005B0981">
        <w:rPr>
          <w:color w:val="000000"/>
        </w:rPr>
        <w:t xml:space="preserve">had </w:t>
      </w:r>
      <w:r w:rsidR="001170BC">
        <w:rPr>
          <w:color w:val="000000"/>
        </w:rPr>
        <w:t>suggested</w:t>
      </w:r>
      <w:r w:rsidR="005B0981">
        <w:rPr>
          <w:color w:val="000000"/>
        </w:rPr>
        <w:t>)</w:t>
      </w:r>
      <w:r w:rsidRPr="006D3942">
        <w:rPr>
          <w:color w:val="000000"/>
        </w:rPr>
        <w:t>.</w:t>
      </w:r>
      <w:bookmarkStart w:id="40" w:name="_Ref177479926"/>
      <w:r w:rsidRPr="006D3942">
        <w:rPr>
          <w:rStyle w:val="NoteRefInText"/>
        </w:rPr>
        <w:footnoteReference w:id="111"/>
      </w:r>
      <w:bookmarkEnd w:id="40"/>
    </w:p>
    <w:p w14:paraId="4F261071" w14:textId="72E1DDBB" w:rsidR="006D3942" w:rsidRPr="006D3942" w:rsidRDefault="006D3942" w:rsidP="00695136">
      <w:pPr>
        <w:pStyle w:val="Document"/>
        <w:rPr>
          <w:color w:val="000000"/>
        </w:rPr>
      </w:pPr>
      <w:r w:rsidRPr="006D3942">
        <w:rPr>
          <w:color w:val="000000"/>
        </w:rPr>
        <w:t>After the passage of the Illegal Immigration Reform and Immigrant Responsibility Act of 1996 (IIRIRA), the attention of scholars turned once again to creating an independent immigration court to address the increasing concerns about the curtailment of judicial review under the IIRIRA.</w:t>
      </w:r>
      <w:r w:rsidRPr="006D3942">
        <w:rPr>
          <w:rStyle w:val="NoteRefInText"/>
        </w:rPr>
        <w:footnoteReference w:id="112"/>
      </w:r>
      <w:r w:rsidRPr="006D3942">
        <w:rPr>
          <w:color w:val="000000"/>
        </w:rPr>
        <w:t xml:space="preserve"> Scholars argued that the immigration adjudication system unconstitutionally restricted judicial review and created a separation of powers problem that could</w:t>
      </w:r>
      <w:r w:rsidR="00D44EE7">
        <w:rPr>
          <w:color w:val="000000"/>
        </w:rPr>
        <w:t xml:space="preserve"> </w:t>
      </w:r>
      <w:r w:rsidRPr="006D3942">
        <w:rPr>
          <w:color w:val="000000"/>
        </w:rPr>
        <w:t>be rectified through the creation of an independent court.</w:t>
      </w:r>
      <w:r w:rsidRPr="006D3942">
        <w:rPr>
          <w:rStyle w:val="NoteRefInText"/>
        </w:rPr>
        <w:footnoteReference w:id="113"/>
      </w:r>
      <w:r w:rsidRPr="006D3942">
        <w:rPr>
          <w:color w:val="000000"/>
        </w:rPr>
        <w:t xml:space="preserve"> Calls for an independent court continued periodically throughout the 2000s</w:t>
      </w:r>
      <w:r w:rsidR="005B0981">
        <w:rPr>
          <w:color w:val="000000"/>
        </w:rPr>
        <w:t>,</w:t>
      </w:r>
      <w:r w:rsidRPr="006D3942">
        <w:rPr>
          <w:color w:val="000000"/>
        </w:rPr>
        <w:t xml:space="preserve"> with </w:t>
      </w:r>
      <w:r w:rsidRPr="006D3942">
        <w:rPr>
          <w:color w:val="000000"/>
        </w:rPr>
        <w:lastRenderedPageBreak/>
        <w:t xml:space="preserve">scholars focused on the need for establishing decisional independence from the </w:t>
      </w:r>
      <w:r w:rsidR="002D730A">
        <w:rPr>
          <w:color w:val="000000"/>
        </w:rPr>
        <w:t>E</w:t>
      </w:r>
      <w:r w:rsidRPr="006D3942">
        <w:rPr>
          <w:color w:val="000000"/>
        </w:rPr>
        <w:t xml:space="preserve">xecutive </w:t>
      </w:r>
      <w:r w:rsidR="002D730A">
        <w:rPr>
          <w:color w:val="000000"/>
        </w:rPr>
        <w:t>B</w:t>
      </w:r>
      <w:r w:rsidRPr="006D3942">
        <w:rPr>
          <w:color w:val="000000"/>
        </w:rPr>
        <w:t>ranch.</w:t>
      </w:r>
      <w:r w:rsidRPr="006D3942">
        <w:rPr>
          <w:rStyle w:val="NoteRefInText"/>
        </w:rPr>
        <w:footnoteReference w:id="114"/>
      </w:r>
      <w:r w:rsidRPr="006D3942">
        <w:rPr>
          <w:color w:val="000000"/>
        </w:rPr>
        <w:t xml:space="preserve"> In 2008, Judge Marks published an article advocating on behalf of the NAIJ for an independent immigration court under Article I, arguing that “[t]he pernicious effect on decisional independence caused by the current structure can no longer be ignored.”</w:t>
      </w:r>
      <w:bookmarkStart w:id="41" w:name="_Ref177480516"/>
      <w:r w:rsidRPr="006D3942">
        <w:rPr>
          <w:rStyle w:val="NoteRefInText"/>
        </w:rPr>
        <w:footnoteReference w:id="115"/>
      </w:r>
      <w:bookmarkEnd w:id="41"/>
      <w:r w:rsidRPr="006D3942">
        <w:rPr>
          <w:color w:val="000000"/>
        </w:rPr>
        <w:t xml:space="preserve"> Like her predecessors,</w:t>
      </w:r>
      <w:r w:rsidR="00083806">
        <w:rPr>
          <w:color w:val="000000"/>
        </w:rPr>
        <w:t xml:space="preserve"> </w:t>
      </w:r>
      <w:r w:rsidR="001170BC">
        <w:rPr>
          <w:color w:val="000000"/>
        </w:rPr>
        <w:t xml:space="preserve">Judge </w:t>
      </w:r>
      <w:r w:rsidRPr="006D3942">
        <w:rPr>
          <w:color w:val="000000"/>
        </w:rPr>
        <w:t xml:space="preserve">Marks emphasized judicial independence as the primary value at stake and focused the creation of an Article I </w:t>
      </w:r>
      <w:r w:rsidR="00A57FC8">
        <w:rPr>
          <w:color w:val="000000"/>
        </w:rPr>
        <w:t>i</w:t>
      </w:r>
      <w:r w:rsidRPr="006D3942">
        <w:rPr>
          <w:color w:val="000000"/>
        </w:rPr>
        <w:t xml:space="preserve">mmigration </w:t>
      </w:r>
      <w:r w:rsidR="00A57FC8">
        <w:rPr>
          <w:color w:val="000000"/>
        </w:rPr>
        <w:t>c</w:t>
      </w:r>
      <w:r w:rsidRPr="006D3942">
        <w:rPr>
          <w:color w:val="000000"/>
        </w:rPr>
        <w:t>ourt on the value of strengthening the judiciary.</w:t>
      </w:r>
      <w:r w:rsidRPr="006D3942">
        <w:rPr>
          <w:rStyle w:val="NoteRefInText"/>
        </w:rPr>
        <w:footnoteReference w:id="116"/>
      </w:r>
    </w:p>
    <w:p w14:paraId="55DF2FA7" w14:textId="6409BE28" w:rsidR="006D3942" w:rsidRPr="006D3942" w:rsidRDefault="006D3942" w:rsidP="00695136">
      <w:pPr>
        <w:pStyle w:val="Document"/>
        <w:rPr>
          <w:color w:val="000000"/>
        </w:rPr>
      </w:pPr>
      <w:r w:rsidRPr="006D3942">
        <w:rPr>
          <w:color w:val="000000"/>
        </w:rPr>
        <w:t xml:space="preserve">In 2010, the </w:t>
      </w:r>
      <w:r w:rsidR="005B0981">
        <w:rPr>
          <w:color w:val="000000"/>
        </w:rPr>
        <w:t xml:space="preserve">ABA </w:t>
      </w:r>
      <w:r w:rsidRPr="006D3942">
        <w:rPr>
          <w:color w:val="000000"/>
        </w:rPr>
        <w:t xml:space="preserve">published a detailed report advocating for the creation of an Article I </w:t>
      </w:r>
      <w:r w:rsidR="00A57FC8">
        <w:rPr>
          <w:color w:val="000000"/>
        </w:rPr>
        <w:t>i</w:t>
      </w:r>
      <w:r w:rsidRPr="006D3942">
        <w:rPr>
          <w:color w:val="000000"/>
        </w:rPr>
        <w:t xml:space="preserve">mmigration </w:t>
      </w:r>
      <w:r w:rsidR="00A57FC8">
        <w:rPr>
          <w:color w:val="000000"/>
        </w:rPr>
        <w:t>c</w:t>
      </w:r>
      <w:r w:rsidRPr="006D3942">
        <w:rPr>
          <w:color w:val="000000"/>
        </w:rPr>
        <w:t>ourt after a lengthy consideration of alternative proposals.</w:t>
      </w:r>
      <w:r w:rsidRPr="006D3942">
        <w:rPr>
          <w:rStyle w:val="NoteRefInText"/>
        </w:rPr>
        <w:footnoteReference w:id="117"/>
      </w:r>
      <w:r w:rsidRPr="006D3942">
        <w:rPr>
          <w:color w:val="000000"/>
        </w:rPr>
        <w:t xml:space="preserve"> In 2013, the </w:t>
      </w:r>
      <w:r w:rsidR="005B0981">
        <w:rPr>
          <w:color w:val="000000"/>
        </w:rPr>
        <w:t xml:space="preserve">FBA </w:t>
      </w:r>
      <w:r w:rsidRPr="006D3942">
        <w:rPr>
          <w:color w:val="000000"/>
        </w:rPr>
        <w:t xml:space="preserve">joined the ABA in endorsing an Article I </w:t>
      </w:r>
      <w:r w:rsidR="00A57FC8">
        <w:rPr>
          <w:color w:val="000000"/>
        </w:rPr>
        <w:t>i</w:t>
      </w:r>
      <w:r w:rsidRPr="006D3942">
        <w:rPr>
          <w:color w:val="000000"/>
        </w:rPr>
        <w:t xml:space="preserve">mmigration </w:t>
      </w:r>
      <w:r w:rsidR="00A57FC8">
        <w:rPr>
          <w:color w:val="000000"/>
        </w:rPr>
        <w:t>c</w:t>
      </w:r>
      <w:r w:rsidRPr="006D3942">
        <w:rPr>
          <w:color w:val="000000"/>
        </w:rPr>
        <w:t>ourt.</w:t>
      </w:r>
      <w:r w:rsidRPr="006D3942">
        <w:rPr>
          <w:rStyle w:val="NoteRefInText"/>
        </w:rPr>
        <w:footnoteReference w:id="118"/>
      </w:r>
      <w:r w:rsidRPr="006D3942">
        <w:rPr>
          <w:color w:val="000000"/>
        </w:rPr>
        <w:t xml:space="preserve"> Since then, </w:t>
      </w:r>
      <w:r w:rsidR="00E20A78">
        <w:rPr>
          <w:color w:val="000000"/>
        </w:rPr>
        <w:t>almost</w:t>
      </w:r>
      <w:r w:rsidRPr="006D3942">
        <w:rPr>
          <w:color w:val="000000"/>
        </w:rPr>
        <w:t xml:space="preserve"> two hundred groups in a variety of sectors have urged Congress to take action to restructure the U.S. </w:t>
      </w:r>
      <w:r w:rsidR="00A57FC8">
        <w:rPr>
          <w:color w:val="000000"/>
        </w:rPr>
        <w:t>i</w:t>
      </w:r>
      <w:r w:rsidRPr="006D3942">
        <w:rPr>
          <w:color w:val="000000"/>
        </w:rPr>
        <w:t xml:space="preserve">mmigration </w:t>
      </w:r>
      <w:r w:rsidR="00A57FC8">
        <w:rPr>
          <w:color w:val="000000"/>
        </w:rPr>
        <w:t>c</w:t>
      </w:r>
      <w:r w:rsidRPr="006D3942">
        <w:rPr>
          <w:color w:val="000000"/>
        </w:rPr>
        <w:t>ourts.</w:t>
      </w:r>
      <w:r w:rsidRPr="006D3942">
        <w:rPr>
          <w:rStyle w:val="NoteRefInText"/>
        </w:rPr>
        <w:footnoteReference w:id="119"/>
      </w:r>
      <w:r w:rsidRPr="006D3942">
        <w:rPr>
          <w:color w:val="000000"/>
        </w:rPr>
        <w:t xml:space="preserve"> These decades of advocacy culminated in the introduction of H</w:t>
      </w:r>
      <w:r w:rsidR="00E20A78">
        <w:rPr>
          <w:color w:val="000000"/>
        </w:rPr>
        <w:t>ouse Bill</w:t>
      </w:r>
      <w:r w:rsidRPr="006D3942">
        <w:rPr>
          <w:color w:val="000000"/>
        </w:rPr>
        <w:t xml:space="preserve"> 6577, the Real Courts, Rule of Law Act of 2022.</w:t>
      </w:r>
      <w:r w:rsidRPr="006D3942">
        <w:rPr>
          <w:rStyle w:val="NoteRefInText"/>
        </w:rPr>
        <w:footnoteReference w:id="120"/>
      </w:r>
      <w:r w:rsidRPr="006D3942">
        <w:rPr>
          <w:color w:val="000000"/>
        </w:rPr>
        <w:t xml:space="preserve"> Although the initial bill failed to advance, Rep</w:t>
      </w:r>
      <w:r w:rsidR="00075952">
        <w:rPr>
          <w:color w:val="000000"/>
        </w:rPr>
        <w:t>resentative</w:t>
      </w:r>
      <w:r w:rsidRPr="006D3942">
        <w:rPr>
          <w:color w:val="000000"/>
        </w:rPr>
        <w:t xml:space="preserve"> Lofgren reintroduced the same bill as </w:t>
      </w:r>
      <w:r w:rsidR="00E20A78">
        <w:rPr>
          <w:color w:val="000000"/>
        </w:rPr>
        <w:t xml:space="preserve">House Bill </w:t>
      </w:r>
      <w:r w:rsidRPr="006D3942">
        <w:rPr>
          <w:color w:val="000000"/>
        </w:rPr>
        <w:t>7724 on March 19, 2024.</w:t>
      </w:r>
      <w:r w:rsidRPr="006D3942">
        <w:rPr>
          <w:rStyle w:val="NoteRefInText"/>
        </w:rPr>
        <w:footnoteReference w:id="121"/>
      </w:r>
      <w:r w:rsidR="00C84274">
        <w:rPr>
          <w:color w:val="000000"/>
        </w:rPr>
        <w:t xml:space="preserve"> </w:t>
      </w:r>
    </w:p>
    <w:p w14:paraId="57C18E74" w14:textId="6210493E" w:rsidR="006D3942" w:rsidRPr="006D3942" w:rsidRDefault="006D3942" w:rsidP="00695136">
      <w:pPr>
        <w:pStyle w:val="Head2"/>
      </w:pPr>
      <w:bookmarkStart w:id="42" w:name="_Toc173015247"/>
      <w:bookmarkStart w:id="43" w:name="_Toc191465195"/>
      <w:r w:rsidRPr="006D3942">
        <w:t>B.</w:t>
      </w:r>
      <w:r w:rsidRPr="006D3942">
        <w:tab/>
        <w:t xml:space="preserve">The </w:t>
      </w:r>
      <w:r w:rsidR="00E378FE">
        <w:t xml:space="preserve">Potential </w:t>
      </w:r>
      <w:r w:rsidRPr="006D3942">
        <w:t>Benefits of an Article I Immigration Court</w:t>
      </w:r>
      <w:bookmarkEnd w:id="42"/>
      <w:bookmarkEnd w:id="43"/>
    </w:p>
    <w:p w14:paraId="7FDB8624" w14:textId="3D3A4550" w:rsidR="006D3942" w:rsidRPr="006D3942" w:rsidRDefault="006D3942" w:rsidP="00695136">
      <w:pPr>
        <w:pStyle w:val="Document"/>
        <w:rPr>
          <w:color w:val="000000"/>
        </w:rPr>
      </w:pPr>
      <w:r w:rsidRPr="006D3942">
        <w:rPr>
          <w:color w:val="000000"/>
        </w:rPr>
        <w:t xml:space="preserve">The Real Courts, Rule of Law Act mirrors previous proposals for an independent </w:t>
      </w:r>
      <w:r w:rsidR="00A57FC8">
        <w:rPr>
          <w:color w:val="000000"/>
        </w:rPr>
        <w:t>i</w:t>
      </w:r>
      <w:r w:rsidRPr="006D3942">
        <w:rPr>
          <w:color w:val="000000"/>
        </w:rPr>
        <w:t xml:space="preserve">mmigration </w:t>
      </w:r>
      <w:r w:rsidR="00A57FC8">
        <w:rPr>
          <w:color w:val="000000"/>
        </w:rPr>
        <w:t>c</w:t>
      </w:r>
      <w:r w:rsidRPr="006D3942">
        <w:rPr>
          <w:color w:val="000000"/>
        </w:rPr>
        <w:t xml:space="preserve">ourt. Like </w:t>
      </w:r>
      <w:r w:rsidR="00C84274">
        <w:rPr>
          <w:color w:val="000000"/>
        </w:rPr>
        <w:t xml:space="preserve">in </w:t>
      </w:r>
      <w:r w:rsidRPr="006D3942">
        <w:rPr>
          <w:color w:val="000000"/>
        </w:rPr>
        <w:t xml:space="preserve">the previous proposals, the new proposed </w:t>
      </w:r>
      <w:r w:rsidR="00C84274">
        <w:rPr>
          <w:color w:val="000000"/>
        </w:rPr>
        <w:t>i</w:t>
      </w:r>
      <w:r w:rsidRPr="006D3942">
        <w:rPr>
          <w:color w:val="000000"/>
        </w:rPr>
        <w:t xml:space="preserve">mmigration </w:t>
      </w:r>
      <w:r w:rsidR="00C84274">
        <w:rPr>
          <w:color w:val="000000"/>
        </w:rPr>
        <w:t>c</w:t>
      </w:r>
      <w:r w:rsidRPr="006D3942">
        <w:rPr>
          <w:color w:val="000000"/>
        </w:rPr>
        <w:t>ourt system would have a trial and appellate division and fifteen-year terms of appointment for both trial</w:t>
      </w:r>
      <w:r w:rsidR="00F154B2">
        <w:rPr>
          <w:color w:val="000000"/>
        </w:rPr>
        <w:t>-</w:t>
      </w:r>
      <w:r w:rsidRPr="006D3942">
        <w:rPr>
          <w:color w:val="000000"/>
        </w:rPr>
        <w:t xml:space="preserve"> and appellate</w:t>
      </w:r>
      <w:r w:rsidR="00F154B2">
        <w:rPr>
          <w:color w:val="000000"/>
        </w:rPr>
        <w:t>-</w:t>
      </w:r>
      <w:r w:rsidRPr="006D3942">
        <w:rPr>
          <w:color w:val="000000"/>
        </w:rPr>
        <w:t>level judges.</w:t>
      </w:r>
      <w:r w:rsidRPr="006D3942">
        <w:rPr>
          <w:rStyle w:val="NoteRefInText"/>
        </w:rPr>
        <w:footnoteReference w:id="122"/>
      </w:r>
      <w:r w:rsidRPr="006D3942">
        <w:rPr>
          <w:color w:val="000000"/>
        </w:rPr>
        <w:t xml:space="preserve"> In addition, judges would receive protections from removal without cause</w:t>
      </w:r>
      <w:r w:rsidR="005B0981">
        <w:rPr>
          <w:color w:val="000000"/>
        </w:rPr>
        <w:t xml:space="preserve">, as well as </w:t>
      </w:r>
      <w:r w:rsidRPr="006D3942">
        <w:rPr>
          <w:color w:val="000000"/>
        </w:rPr>
        <w:t>salary expectations tied to the salaries of district court judges.</w:t>
      </w:r>
      <w:r w:rsidRPr="006D3942">
        <w:rPr>
          <w:rStyle w:val="NoteRefInText"/>
        </w:rPr>
        <w:footnoteReference w:id="123"/>
      </w:r>
      <w:r w:rsidRPr="006D3942">
        <w:rPr>
          <w:color w:val="000000"/>
        </w:rPr>
        <w:t xml:space="preserve"> Like Rep</w:t>
      </w:r>
      <w:r w:rsidR="00075952">
        <w:rPr>
          <w:color w:val="000000"/>
        </w:rPr>
        <w:t>resentative</w:t>
      </w:r>
      <w:r w:rsidRPr="006D3942">
        <w:rPr>
          <w:color w:val="000000"/>
        </w:rPr>
        <w:t xml:space="preserve"> McCollum’s proposals from the 1990s, </w:t>
      </w:r>
      <w:r w:rsidR="00C84274" w:rsidRPr="00C84274">
        <w:rPr>
          <w:color w:val="000000"/>
        </w:rPr>
        <w:t xml:space="preserve">the Real Courts, Rule of Law Act </w:t>
      </w:r>
      <w:r w:rsidR="00C84274">
        <w:rPr>
          <w:color w:val="000000"/>
        </w:rPr>
        <w:t xml:space="preserve">would give </w:t>
      </w:r>
      <w:r w:rsidRPr="006D3942">
        <w:rPr>
          <w:color w:val="000000"/>
        </w:rPr>
        <w:t xml:space="preserve">the new </w:t>
      </w:r>
      <w:r w:rsidR="00C84274">
        <w:rPr>
          <w:color w:val="000000"/>
        </w:rPr>
        <w:t>i</w:t>
      </w:r>
      <w:r w:rsidRPr="006D3942">
        <w:rPr>
          <w:color w:val="000000"/>
        </w:rPr>
        <w:t xml:space="preserve">mmigration </w:t>
      </w:r>
      <w:r w:rsidR="00C84274">
        <w:rPr>
          <w:color w:val="000000"/>
        </w:rPr>
        <w:t>j</w:t>
      </w:r>
      <w:r w:rsidRPr="006D3942">
        <w:rPr>
          <w:color w:val="000000"/>
        </w:rPr>
        <w:t>udges the authority to hold parties in contempt.</w:t>
      </w:r>
      <w:r w:rsidRPr="006D3942">
        <w:rPr>
          <w:rStyle w:val="NoteRefInText"/>
        </w:rPr>
        <w:footnoteReference w:id="124"/>
      </w:r>
      <w:r w:rsidRPr="006D3942">
        <w:rPr>
          <w:color w:val="000000"/>
        </w:rPr>
        <w:t xml:space="preserve"> Notably, the Real Courts, Rule </w:t>
      </w:r>
      <w:r w:rsidRPr="006D3942">
        <w:rPr>
          <w:color w:val="000000"/>
        </w:rPr>
        <w:lastRenderedPageBreak/>
        <w:t>of Law Act borrow</w:t>
      </w:r>
      <w:r w:rsidR="00C84274">
        <w:rPr>
          <w:color w:val="000000"/>
        </w:rPr>
        <w:t>ed</w:t>
      </w:r>
      <w:r w:rsidRPr="006D3942">
        <w:rPr>
          <w:color w:val="000000"/>
        </w:rPr>
        <w:t xml:space="preserve"> identical language from the</w:t>
      </w:r>
      <w:r w:rsidR="009F4B41">
        <w:rPr>
          <w:color w:val="000000"/>
        </w:rPr>
        <w:t xml:space="preserve"> </w:t>
      </w:r>
      <w:r w:rsidR="00BE18D2">
        <w:rPr>
          <w:color w:val="000000"/>
        </w:rPr>
        <w:t>statute governing the U.S. Tax Court</w:t>
      </w:r>
      <w:r w:rsidRPr="006D3942">
        <w:rPr>
          <w:color w:val="000000"/>
        </w:rPr>
        <w:t>, stating that “[t]he Immigration Courts is not an agency of, and shall be independent of, the executive branch of the Government.”</w:t>
      </w:r>
      <w:r w:rsidRPr="006D3942">
        <w:rPr>
          <w:rStyle w:val="NoteRefInText"/>
        </w:rPr>
        <w:footnoteReference w:id="125"/>
      </w:r>
    </w:p>
    <w:p w14:paraId="685C4149" w14:textId="1A38514C" w:rsidR="006D3942" w:rsidRPr="006D3942" w:rsidRDefault="006D3942" w:rsidP="00695136">
      <w:pPr>
        <w:pStyle w:val="Document"/>
        <w:rPr>
          <w:color w:val="000000"/>
        </w:rPr>
      </w:pPr>
      <w:r w:rsidRPr="006D3942">
        <w:rPr>
          <w:color w:val="000000"/>
        </w:rPr>
        <w:t>Unlike the more rudimentary plan</w:t>
      </w:r>
      <w:r w:rsidR="00C84274">
        <w:rPr>
          <w:color w:val="000000"/>
        </w:rPr>
        <w:t>s</w:t>
      </w:r>
      <w:r w:rsidRPr="006D3942">
        <w:rPr>
          <w:color w:val="000000"/>
        </w:rPr>
        <w:t xml:space="preserve"> of the past, the Real Courts, Rule of Law Act is detailed and contains several novel provisions of note. First, the new proposal takes account of the increasing complexity of immigration adjudications and the need for an increasing number of judges to staff the system.</w:t>
      </w:r>
      <w:bookmarkStart w:id="44" w:name="_Ref177480503"/>
      <w:r w:rsidRPr="006D3942">
        <w:rPr>
          <w:rStyle w:val="NoteRefInText"/>
        </w:rPr>
        <w:footnoteReference w:id="126"/>
      </w:r>
      <w:bookmarkEnd w:id="44"/>
      <w:r w:rsidRPr="006D3942">
        <w:rPr>
          <w:color w:val="000000"/>
        </w:rPr>
        <w:t xml:space="preserve"> Interestingly, the plan would institute a system of presidential appointment and Senate confirmation for only the judges of the appellate division</w:t>
      </w:r>
      <w:r w:rsidR="005B0981">
        <w:rPr>
          <w:color w:val="000000"/>
        </w:rPr>
        <w:t xml:space="preserve">; </w:t>
      </w:r>
      <w:r w:rsidRPr="006D3942">
        <w:rPr>
          <w:color w:val="000000"/>
        </w:rPr>
        <w:t xml:space="preserve">the appellate judges would </w:t>
      </w:r>
      <w:r w:rsidR="005B0981">
        <w:rPr>
          <w:color w:val="000000"/>
        </w:rPr>
        <w:t xml:space="preserve">then, in turn, </w:t>
      </w:r>
      <w:r w:rsidRPr="006D3942">
        <w:rPr>
          <w:color w:val="000000"/>
        </w:rPr>
        <w:t xml:space="preserve">appoint </w:t>
      </w:r>
      <w:r w:rsidR="005B0981">
        <w:rPr>
          <w:color w:val="000000"/>
        </w:rPr>
        <w:t xml:space="preserve">the </w:t>
      </w:r>
      <w:r w:rsidRPr="006D3942">
        <w:rPr>
          <w:color w:val="000000"/>
        </w:rPr>
        <w:t>trial</w:t>
      </w:r>
      <w:r w:rsidR="00A57FC8">
        <w:rPr>
          <w:color w:val="000000"/>
        </w:rPr>
        <w:t>-</w:t>
      </w:r>
      <w:r w:rsidRPr="006D3942">
        <w:rPr>
          <w:color w:val="000000"/>
        </w:rPr>
        <w:t>level judges.</w:t>
      </w:r>
      <w:bookmarkStart w:id="45" w:name="_Ref181550109"/>
      <w:r w:rsidRPr="006D3942">
        <w:rPr>
          <w:rStyle w:val="NoteRefInText"/>
        </w:rPr>
        <w:footnoteReference w:id="127"/>
      </w:r>
      <w:bookmarkEnd w:id="45"/>
      <w:r w:rsidRPr="006D3942">
        <w:rPr>
          <w:color w:val="000000"/>
        </w:rPr>
        <w:t xml:space="preserve"> The appointment plan borrows from the current U.S. Tax Court appointment system for principal and inferior officers, and </w:t>
      </w:r>
      <w:r w:rsidR="00964A6E">
        <w:rPr>
          <w:color w:val="000000"/>
        </w:rPr>
        <w:t xml:space="preserve">some </w:t>
      </w:r>
      <w:r w:rsidRPr="006D3942">
        <w:rPr>
          <w:color w:val="000000"/>
        </w:rPr>
        <w:t>scholars suggest that</w:t>
      </w:r>
      <w:r w:rsidR="00C11E81">
        <w:rPr>
          <w:color w:val="000000"/>
        </w:rPr>
        <w:t>,</w:t>
      </w:r>
      <w:r w:rsidRPr="006D3942">
        <w:rPr>
          <w:color w:val="000000"/>
        </w:rPr>
        <w:t xml:space="preserve"> given </w:t>
      </w:r>
      <w:r w:rsidR="00C11E81">
        <w:rPr>
          <w:color w:val="000000"/>
        </w:rPr>
        <w:t>these</w:t>
      </w:r>
      <w:r w:rsidRPr="006D3942">
        <w:rPr>
          <w:color w:val="000000"/>
        </w:rPr>
        <w:t xml:space="preserve"> similarities, the new plan would likely be </w:t>
      </w:r>
      <w:r w:rsidR="00964A6E">
        <w:rPr>
          <w:color w:val="000000"/>
        </w:rPr>
        <w:t xml:space="preserve">found </w:t>
      </w:r>
      <w:r w:rsidRPr="006D3942">
        <w:rPr>
          <w:color w:val="000000"/>
        </w:rPr>
        <w:t>constitutional.</w:t>
      </w:r>
      <w:r w:rsidRPr="006D3942">
        <w:rPr>
          <w:rStyle w:val="NoteRefInText"/>
        </w:rPr>
        <w:footnoteReference w:id="128"/>
      </w:r>
      <w:r w:rsidRPr="006D3942">
        <w:rPr>
          <w:color w:val="000000"/>
        </w:rPr>
        <w:t xml:space="preserve"> Additionally, because the new court would be an independent court with Article I status, the Attorney General would exercise no authority over decisions by the appellate division, wh</w:t>
      </w:r>
      <w:r w:rsidR="00C11E81">
        <w:rPr>
          <w:color w:val="000000"/>
        </w:rPr>
        <w:t>ich</w:t>
      </w:r>
      <w:r w:rsidRPr="006D3942">
        <w:rPr>
          <w:color w:val="000000"/>
        </w:rPr>
        <w:t xml:space="preserve"> would </w:t>
      </w:r>
      <w:r w:rsidR="00C11E81">
        <w:rPr>
          <w:color w:val="000000"/>
        </w:rPr>
        <w:t>be subject</w:t>
      </w:r>
      <w:r w:rsidRPr="006D3942">
        <w:rPr>
          <w:color w:val="000000"/>
        </w:rPr>
        <w:t xml:space="preserve"> only to Article III review by the </w:t>
      </w:r>
      <w:r w:rsidR="00D807A4">
        <w:rPr>
          <w:color w:val="000000"/>
        </w:rPr>
        <w:t>U.S.</w:t>
      </w:r>
      <w:r w:rsidRPr="006D3942">
        <w:rPr>
          <w:color w:val="000000"/>
        </w:rPr>
        <w:t xml:space="preserve"> Courts of Appeals.</w:t>
      </w:r>
      <w:r w:rsidRPr="006D3942">
        <w:rPr>
          <w:rStyle w:val="NoteRefInText"/>
        </w:rPr>
        <w:footnoteReference w:id="129"/>
      </w:r>
      <w:r w:rsidRPr="006D3942">
        <w:rPr>
          <w:color w:val="000000"/>
        </w:rPr>
        <w:t xml:space="preserve"> Finally, H</w:t>
      </w:r>
      <w:r w:rsidR="00E20A78">
        <w:rPr>
          <w:color w:val="000000"/>
        </w:rPr>
        <w:t>ouse Bill</w:t>
      </w:r>
      <w:r w:rsidRPr="006D3942">
        <w:rPr>
          <w:color w:val="000000"/>
        </w:rPr>
        <w:t xml:space="preserve"> 7724 creates requirements for competency and guidelines for judicial appointments and retirement.</w:t>
      </w:r>
      <w:r w:rsidRPr="006D3942">
        <w:rPr>
          <w:rStyle w:val="NoteRefInText"/>
        </w:rPr>
        <w:footnoteReference w:id="130"/>
      </w:r>
    </w:p>
    <w:p w14:paraId="15232A30" w14:textId="7D93941E" w:rsidR="006D3942" w:rsidRPr="006D3942" w:rsidRDefault="00C11E81" w:rsidP="00695136">
      <w:pPr>
        <w:pStyle w:val="Document"/>
        <w:rPr>
          <w:rStyle w:val="Emphasis"/>
          <w:i w:val="0"/>
          <w:iCs w:val="0"/>
          <w:color w:val="000000"/>
        </w:rPr>
      </w:pPr>
      <w:r>
        <w:rPr>
          <w:color w:val="000000"/>
        </w:rPr>
        <w:t xml:space="preserve">The current proposal has </w:t>
      </w:r>
      <w:r w:rsidR="006D3942" w:rsidRPr="006D3942">
        <w:rPr>
          <w:color w:val="000000"/>
        </w:rPr>
        <w:t xml:space="preserve">significant potential benefits, most of which have been championed for years. </w:t>
      </w:r>
      <w:r w:rsidR="00FD0345">
        <w:rPr>
          <w:color w:val="000000"/>
        </w:rPr>
        <w:t xml:space="preserve">For one, it </w:t>
      </w:r>
      <w:r w:rsidR="006D3942" w:rsidRPr="006D3942">
        <w:rPr>
          <w:color w:val="000000"/>
        </w:rPr>
        <w:t xml:space="preserve">would </w:t>
      </w:r>
      <w:r w:rsidR="006D3942" w:rsidRPr="006D3942">
        <w:rPr>
          <w:rStyle w:val="Emphasis"/>
          <w:i w:val="0"/>
          <w:iCs w:val="0"/>
          <w:color w:val="000000"/>
        </w:rPr>
        <w:t xml:space="preserve">insulate decisionmaking by immigration judges from the </w:t>
      </w:r>
      <w:r w:rsidR="002D730A">
        <w:rPr>
          <w:rStyle w:val="Emphasis"/>
          <w:i w:val="0"/>
          <w:iCs w:val="0"/>
          <w:color w:val="000000"/>
        </w:rPr>
        <w:t>E</w:t>
      </w:r>
      <w:r w:rsidR="006D3942" w:rsidRPr="006D3942">
        <w:rPr>
          <w:rStyle w:val="Emphasis"/>
          <w:i w:val="0"/>
          <w:iCs w:val="0"/>
          <w:color w:val="000000"/>
        </w:rPr>
        <w:t xml:space="preserve">xecutive </w:t>
      </w:r>
      <w:r w:rsidR="002D730A">
        <w:rPr>
          <w:rStyle w:val="Emphasis"/>
          <w:i w:val="0"/>
          <w:iCs w:val="0"/>
          <w:color w:val="000000"/>
        </w:rPr>
        <w:t>B</w:t>
      </w:r>
      <w:r w:rsidR="006D3942" w:rsidRPr="006D3942">
        <w:rPr>
          <w:rStyle w:val="Emphasis"/>
          <w:i w:val="0"/>
          <w:iCs w:val="0"/>
          <w:color w:val="000000"/>
        </w:rPr>
        <w:t xml:space="preserve">ranch by taking away the </w:t>
      </w:r>
      <w:r>
        <w:rPr>
          <w:rStyle w:val="Emphasis"/>
          <w:i w:val="0"/>
          <w:iCs w:val="0"/>
          <w:color w:val="000000"/>
        </w:rPr>
        <w:t xml:space="preserve">Attorney General’s </w:t>
      </w:r>
      <w:r w:rsidR="006D3942" w:rsidRPr="006D3942">
        <w:rPr>
          <w:rStyle w:val="Emphasis"/>
          <w:i w:val="0"/>
          <w:iCs w:val="0"/>
          <w:color w:val="000000"/>
        </w:rPr>
        <w:t xml:space="preserve">arbitrary hiring and firing power, which has long been used to manipulate docket structure and pressure judges into caving to the political whims of executive policymaking. Also, as both Levinson and Roberts recognized in the 1980s, instituting a system of presidential appointments with Senate confirmation would likely attract higher status candidates who would be more likely to perform their role in line with </w:t>
      </w:r>
      <w:r w:rsidR="006D3942" w:rsidRPr="006D3942">
        <w:rPr>
          <w:rStyle w:val="Emphasis"/>
          <w:i w:val="0"/>
          <w:iCs w:val="0"/>
          <w:color w:val="000000"/>
        </w:rPr>
        <w:lastRenderedPageBreak/>
        <w:t>judicial values instead of a law</w:t>
      </w:r>
      <w:r w:rsidR="00FD0345">
        <w:rPr>
          <w:rStyle w:val="Emphasis"/>
          <w:i w:val="0"/>
          <w:iCs w:val="0"/>
          <w:color w:val="000000"/>
        </w:rPr>
        <w:t>-</w:t>
      </w:r>
      <w:r w:rsidR="006D3942" w:rsidRPr="006D3942">
        <w:rPr>
          <w:rStyle w:val="Emphasis"/>
          <w:i w:val="0"/>
          <w:iCs w:val="0"/>
          <w:color w:val="000000"/>
        </w:rPr>
        <w:t>enforcement mindset.</w:t>
      </w:r>
      <w:r w:rsidR="006D3942" w:rsidRPr="006D3942">
        <w:rPr>
          <w:rStyle w:val="NoteRefInText"/>
        </w:rPr>
        <w:footnoteReference w:id="131"/>
      </w:r>
      <w:r w:rsidR="006D3942" w:rsidRPr="006D3942">
        <w:rPr>
          <w:rStyle w:val="Emphasis"/>
          <w:i w:val="0"/>
          <w:iCs w:val="0"/>
          <w:color w:val="000000"/>
        </w:rPr>
        <w:t xml:space="preserve"> Most importantly, the new plan would insulate the </w:t>
      </w:r>
      <w:r w:rsidR="002D730A">
        <w:rPr>
          <w:rStyle w:val="Emphasis"/>
          <w:i w:val="0"/>
          <w:iCs w:val="0"/>
          <w:color w:val="000000"/>
        </w:rPr>
        <w:t>i</w:t>
      </w:r>
      <w:r w:rsidR="006D3942" w:rsidRPr="006D3942">
        <w:rPr>
          <w:rStyle w:val="Emphasis"/>
          <w:i w:val="0"/>
          <w:iCs w:val="0"/>
          <w:color w:val="000000"/>
        </w:rPr>
        <w:t xml:space="preserve">mmigration </w:t>
      </w:r>
      <w:r w:rsidR="002D730A">
        <w:rPr>
          <w:rStyle w:val="Emphasis"/>
          <w:i w:val="0"/>
          <w:iCs w:val="0"/>
          <w:color w:val="000000"/>
        </w:rPr>
        <w:t>c</w:t>
      </w:r>
      <w:r w:rsidR="006D3942" w:rsidRPr="006D3942">
        <w:rPr>
          <w:rStyle w:val="Emphasis"/>
          <w:i w:val="0"/>
          <w:iCs w:val="0"/>
          <w:color w:val="000000"/>
        </w:rPr>
        <w:t>ourts from the influence of the Attorney General over the substantive interpretation of immigration laws</w:t>
      </w:r>
      <w:r w:rsidR="00FD0345">
        <w:rPr>
          <w:rStyle w:val="Emphasis"/>
          <w:i w:val="0"/>
          <w:iCs w:val="0"/>
          <w:color w:val="000000"/>
        </w:rPr>
        <w:t xml:space="preserve">, instead </w:t>
      </w:r>
      <w:r w:rsidR="006D3942" w:rsidRPr="006D3942">
        <w:rPr>
          <w:rStyle w:val="Emphasis"/>
          <w:i w:val="0"/>
          <w:iCs w:val="0"/>
          <w:color w:val="000000"/>
        </w:rPr>
        <w:t>leav</w:t>
      </w:r>
      <w:r w:rsidR="00FD0345">
        <w:rPr>
          <w:rStyle w:val="Emphasis"/>
          <w:i w:val="0"/>
          <w:iCs w:val="0"/>
          <w:color w:val="000000"/>
        </w:rPr>
        <w:t>ing</w:t>
      </w:r>
      <w:r w:rsidR="006D3942" w:rsidRPr="006D3942">
        <w:rPr>
          <w:rStyle w:val="Emphasis"/>
          <w:i w:val="0"/>
          <w:iCs w:val="0"/>
          <w:color w:val="000000"/>
        </w:rPr>
        <w:t xml:space="preserve"> the final interpretation of the law squarely in the hands of the federal judiciary through the appeals process. </w:t>
      </w:r>
      <w:r w:rsidR="00FD0345">
        <w:rPr>
          <w:rStyle w:val="Emphasis"/>
          <w:i w:val="0"/>
          <w:iCs w:val="0"/>
          <w:color w:val="000000"/>
        </w:rPr>
        <w:t>But e</w:t>
      </w:r>
      <w:r w:rsidR="006D3942" w:rsidRPr="006D3942">
        <w:rPr>
          <w:rStyle w:val="Emphasis"/>
          <w:i w:val="0"/>
          <w:iCs w:val="0"/>
          <w:color w:val="000000"/>
        </w:rPr>
        <w:t xml:space="preserve">ven beyond instituting structural and substantive protections from executive meddling, the plan would significantly alter the culture of the </w:t>
      </w:r>
      <w:r w:rsidR="002D730A">
        <w:rPr>
          <w:rStyle w:val="Emphasis"/>
          <w:i w:val="0"/>
          <w:iCs w:val="0"/>
          <w:color w:val="000000"/>
        </w:rPr>
        <w:t>i</w:t>
      </w:r>
      <w:r w:rsidR="006D3942" w:rsidRPr="006D3942">
        <w:rPr>
          <w:rStyle w:val="Emphasis"/>
          <w:i w:val="0"/>
          <w:iCs w:val="0"/>
          <w:color w:val="000000"/>
        </w:rPr>
        <w:t xml:space="preserve">mmigration </w:t>
      </w:r>
      <w:r w:rsidR="002D730A">
        <w:rPr>
          <w:rStyle w:val="Emphasis"/>
          <w:i w:val="0"/>
          <w:iCs w:val="0"/>
          <w:color w:val="000000"/>
        </w:rPr>
        <w:t>c</w:t>
      </w:r>
      <w:r w:rsidR="006D3942" w:rsidRPr="006D3942">
        <w:rPr>
          <w:rStyle w:val="Emphasis"/>
          <w:i w:val="0"/>
          <w:iCs w:val="0"/>
          <w:color w:val="000000"/>
        </w:rPr>
        <w:t xml:space="preserve">ourts by removing them from the hands of a law enforcement agency. The hope in making this move is </w:t>
      </w:r>
      <w:r w:rsidR="006A51C5">
        <w:rPr>
          <w:rStyle w:val="Emphasis"/>
          <w:i w:val="0"/>
          <w:iCs w:val="0"/>
          <w:color w:val="000000"/>
        </w:rPr>
        <w:t xml:space="preserve">the </w:t>
      </w:r>
      <w:r w:rsidR="006D3942" w:rsidRPr="006D3942">
        <w:rPr>
          <w:rStyle w:val="Emphasis"/>
          <w:i w:val="0"/>
          <w:iCs w:val="0"/>
          <w:color w:val="000000"/>
        </w:rPr>
        <w:t xml:space="preserve">same one that motivated early calls to create a more “judicial” </w:t>
      </w:r>
      <w:r w:rsidR="00A57FC8">
        <w:rPr>
          <w:rStyle w:val="Emphasis"/>
          <w:i w:val="0"/>
          <w:iCs w:val="0"/>
          <w:color w:val="000000"/>
        </w:rPr>
        <w:t>i</w:t>
      </w:r>
      <w:r w:rsidR="006D3942" w:rsidRPr="006D3942">
        <w:rPr>
          <w:rStyle w:val="Emphasis"/>
          <w:i w:val="0"/>
          <w:iCs w:val="0"/>
          <w:color w:val="000000"/>
        </w:rPr>
        <w:t xml:space="preserve">mmigration </w:t>
      </w:r>
      <w:r w:rsidR="00A57FC8">
        <w:rPr>
          <w:rStyle w:val="Emphasis"/>
          <w:i w:val="0"/>
          <w:iCs w:val="0"/>
          <w:color w:val="000000"/>
        </w:rPr>
        <w:t>c</w:t>
      </w:r>
      <w:r w:rsidR="006D3942" w:rsidRPr="006D3942">
        <w:rPr>
          <w:rStyle w:val="Emphasis"/>
          <w:i w:val="0"/>
          <w:iCs w:val="0"/>
          <w:color w:val="000000"/>
        </w:rPr>
        <w:t>ourt</w:t>
      </w:r>
      <w:r w:rsidR="00FD0345">
        <w:rPr>
          <w:rStyle w:val="Emphasis"/>
          <w:i w:val="0"/>
          <w:iCs w:val="0"/>
          <w:color w:val="000000"/>
        </w:rPr>
        <w:t>: T</w:t>
      </w:r>
      <w:r w:rsidR="006D3942" w:rsidRPr="006D3942">
        <w:rPr>
          <w:rStyle w:val="Emphasis"/>
          <w:i w:val="0"/>
          <w:iCs w:val="0"/>
          <w:color w:val="000000"/>
        </w:rPr>
        <w:t xml:space="preserve">here is something unique about the structure and nature of the judiciary that makes it the correct branch to entrust with </w:t>
      </w:r>
      <w:r w:rsidR="004A044F">
        <w:rPr>
          <w:rStyle w:val="Emphasis"/>
          <w:i w:val="0"/>
          <w:iCs w:val="0"/>
          <w:color w:val="000000"/>
        </w:rPr>
        <w:t>upholding rights.</w:t>
      </w:r>
    </w:p>
    <w:p w14:paraId="011622DF" w14:textId="0C4C431A" w:rsidR="006D3942" w:rsidRPr="006D3942" w:rsidRDefault="006D3942" w:rsidP="00695136">
      <w:pPr>
        <w:pStyle w:val="Document"/>
        <w:rPr>
          <w:rStyle w:val="Emphasis"/>
          <w:i w:val="0"/>
          <w:iCs w:val="0"/>
          <w:color w:val="000000"/>
        </w:rPr>
      </w:pPr>
      <w:r w:rsidRPr="006D3942">
        <w:rPr>
          <w:rStyle w:val="Emphasis"/>
          <w:i w:val="0"/>
          <w:iCs w:val="0"/>
          <w:color w:val="000000"/>
        </w:rPr>
        <w:t>The benefits of adopting the Real Courts, Rule of Law Act are clear. However, several scholars suggest instead that more incremental and intermediate reforms be put in place</w:t>
      </w:r>
      <w:r w:rsidR="00FD0345">
        <w:rPr>
          <w:rStyle w:val="Emphasis"/>
          <w:i w:val="0"/>
          <w:iCs w:val="0"/>
          <w:color w:val="000000"/>
        </w:rPr>
        <w:t>—</w:t>
      </w:r>
      <w:r w:rsidRPr="006D3942">
        <w:rPr>
          <w:rStyle w:val="Emphasis"/>
          <w:i w:val="0"/>
          <w:iCs w:val="0"/>
          <w:color w:val="000000"/>
        </w:rPr>
        <w:t>such as turning IJs into ALJs</w:t>
      </w:r>
      <w:r w:rsidR="00FD0345">
        <w:rPr>
          <w:rStyle w:val="Emphasis"/>
          <w:i w:val="0"/>
          <w:iCs w:val="0"/>
          <w:color w:val="000000"/>
        </w:rPr>
        <w:t>—</w:t>
      </w:r>
      <w:r w:rsidRPr="006D3942">
        <w:rPr>
          <w:rStyle w:val="Emphasis"/>
          <w:i w:val="0"/>
          <w:iCs w:val="0"/>
          <w:color w:val="000000"/>
        </w:rPr>
        <w:t>out of concern that an Article I court is too ambitious and has been unsuccessful in the past.</w:t>
      </w:r>
      <w:r w:rsidRPr="006D3942">
        <w:rPr>
          <w:rStyle w:val="NoteRefInText"/>
        </w:rPr>
        <w:footnoteReference w:id="132"/>
      </w:r>
      <w:r w:rsidRPr="006D3942">
        <w:rPr>
          <w:rStyle w:val="Emphasis"/>
          <w:i w:val="0"/>
          <w:iCs w:val="0"/>
          <w:color w:val="000000"/>
        </w:rPr>
        <w:t xml:space="preserve"> </w:t>
      </w:r>
      <w:r w:rsidR="00FD0345">
        <w:rPr>
          <w:rStyle w:val="Emphasis"/>
          <w:i w:val="0"/>
          <w:iCs w:val="0"/>
          <w:color w:val="000000"/>
        </w:rPr>
        <w:t>Conversely</w:t>
      </w:r>
      <w:r w:rsidRPr="006D3942">
        <w:rPr>
          <w:rStyle w:val="Emphasis"/>
          <w:i w:val="0"/>
          <w:iCs w:val="0"/>
          <w:color w:val="000000"/>
        </w:rPr>
        <w:t xml:space="preserve">, other scholars suggest that even an Article I </w:t>
      </w:r>
      <w:r w:rsidR="00A57FC8">
        <w:rPr>
          <w:rStyle w:val="Emphasis"/>
          <w:i w:val="0"/>
          <w:iCs w:val="0"/>
          <w:color w:val="000000"/>
        </w:rPr>
        <w:t>i</w:t>
      </w:r>
      <w:r w:rsidRPr="006D3942">
        <w:rPr>
          <w:rStyle w:val="Emphasis"/>
          <w:i w:val="0"/>
          <w:iCs w:val="0"/>
          <w:color w:val="000000"/>
        </w:rPr>
        <w:t xml:space="preserve">mmigration </w:t>
      </w:r>
      <w:r w:rsidR="00A57FC8">
        <w:rPr>
          <w:rStyle w:val="Emphasis"/>
          <w:i w:val="0"/>
          <w:iCs w:val="0"/>
          <w:color w:val="000000"/>
        </w:rPr>
        <w:t>c</w:t>
      </w:r>
      <w:r w:rsidRPr="006D3942">
        <w:rPr>
          <w:rStyle w:val="Emphasis"/>
          <w:i w:val="0"/>
          <w:iCs w:val="0"/>
          <w:color w:val="000000"/>
        </w:rPr>
        <w:t>ourt would</w:t>
      </w:r>
      <w:r w:rsidR="00FD0345">
        <w:rPr>
          <w:rStyle w:val="Emphasis"/>
          <w:i w:val="0"/>
          <w:iCs w:val="0"/>
          <w:color w:val="000000"/>
        </w:rPr>
        <w:t xml:space="preserve"> be insufficient to </w:t>
      </w:r>
      <w:r w:rsidRPr="006D3942">
        <w:rPr>
          <w:rStyle w:val="Emphasis"/>
          <w:i w:val="0"/>
          <w:iCs w:val="0"/>
          <w:color w:val="000000"/>
        </w:rPr>
        <w:t xml:space="preserve">truly safeguard the fundamental rights implicated in the removal process and </w:t>
      </w:r>
      <w:r w:rsidR="00FD0345">
        <w:rPr>
          <w:rStyle w:val="Emphasis"/>
          <w:i w:val="0"/>
          <w:iCs w:val="0"/>
          <w:color w:val="000000"/>
        </w:rPr>
        <w:t xml:space="preserve">might </w:t>
      </w:r>
      <w:r w:rsidRPr="006D3942">
        <w:rPr>
          <w:rStyle w:val="Emphasis"/>
          <w:i w:val="0"/>
          <w:iCs w:val="0"/>
          <w:color w:val="000000"/>
        </w:rPr>
        <w:t xml:space="preserve">still be influenced too easily by the </w:t>
      </w:r>
      <w:r w:rsidR="002D730A">
        <w:rPr>
          <w:rStyle w:val="Emphasis"/>
          <w:i w:val="0"/>
          <w:iCs w:val="0"/>
          <w:color w:val="000000"/>
        </w:rPr>
        <w:t>E</w:t>
      </w:r>
      <w:r w:rsidRPr="006D3942">
        <w:rPr>
          <w:rStyle w:val="Emphasis"/>
          <w:i w:val="0"/>
          <w:iCs w:val="0"/>
          <w:color w:val="000000"/>
        </w:rPr>
        <w:t xml:space="preserve">xecutive </w:t>
      </w:r>
      <w:r w:rsidR="002D730A">
        <w:rPr>
          <w:rStyle w:val="Emphasis"/>
          <w:i w:val="0"/>
          <w:iCs w:val="0"/>
          <w:color w:val="000000"/>
        </w:rPr>
        <w:t>B</w:t>
      </w:r>
      <w:r w:rsidRPr="006D3942">
        <w:rPr>
          <w:rStyle w:val="Emphasis"/>
          <w:i w:val="0"/>
          <w:iCs w:val="0"/>
          <w:color w:val="000000"/>
        </w:rPr>
        <w:t>ranch.</w:t>
      </w:r>
      <w:r w:rsidRPr="006D3942">
        <w:rPr>
          <w:rStyle w:val="NoteRefInText"/>
        </w:rPr>
        <w:footnoteReference w:id="133"/>
      </w:r>
      <w:r w:rsidRPr="006D3942">
        <w:rPr>
          <w:rStyle w:val="Emphasis"/>
          <w:i w:val="0"/>
          <w:iCs w:val="0"/>
          <w:color w:val="000000"/>
        </w:rPr>
        <w:t xml:space="preserve"> These scholars suggest that only by incorporating immigration proceedings into a true Article III court could the values of due process and fundamental fairness in removal proceedings be achieved.</w:t>
      </w:r>
      <w:r w:rsidRPr="006D3942">
        <w:rPr>
          <w:rStyle w:val="NoteRefInText"/>
        </w:rPr>
        <w:footnoteReference w:id="134"/>
      </w:r>
      <w:r w:rsidRPr="006D3942">
        <w:rPr>
          <w:rStyle w:val="Emphasis"/>
          <w:i w:val="0"/>
          <w:iCs w:val="0"/>
          <w:color w:val="000000"/>
        </w:rPr>
        <w:t xml:space="preserve"> </w:t>
      </w:r>
      <w:r w:rsidR="00FD0345">
        <w:rPr>
          <w:rStyle w:val="Emphasis"/>
          <w:i w:val="0"/>
          <w:iCs w:val="0"/>
          <w:color w:val="000000"/>
        </w:rPr>
        <w:t xml:space="preserve">Despite </w:t>
      </w:r>
      <w:r w:rsidRPr="006D3942">
        <w:rPr>
          <w:rStyle w:val="Emphasis"/>
          <w:i w:val="0"/>
          <w:iCs w:val="0"/>
          <w:color w:val="000000"/>
        </w:rPr>
        <w:t xml:space="preserve">some disagreements on the feasibility and extent of the benefit of creating an Article I </w:t>
      </w:r>
      <w:r w:rsidR="007B07DF">
        <w:rPr>
          <w:rStyle w:val="Emphasis"/>
          <w:i w:val="0"/>
          <w:iCs w:val="0"/>
          <w:color w:val="000000"/>
        </w:rPr>
        <w:t>c</w:t>
      </w:r>
      <w:r w:rsidRPr="006D3942">
        <w:rPr>
          <w:rStyle w:val="Emphasis"/>
          <w:i w:val="0"/>
          <w:iCs w:val="0"/>
          <w:color w:val="000000"/>
        </w:rPr>
        <w:t xml:space="preserve">ourt, </w:t>
      </w:r>
      <w:r w:rsidR="00FD0345">
        <w:rPr>
          <w:rStyle w:val="Emphasis"/>
          <w:i w:val="0"/>
          <w:iCs w:val="0"/>
          <w:color w:val="000000"/>
        </w:rPr>
        <w:t xml:space="preserve">however, </w:t>
      </w:r>
      <w:r w:rsidRPr="006D3942">
        <w:rPr>
          <w:rStyle w:val="Emphasis"/>
          <w:i w:val="0"/>
          <w:iCs w:val="0"/>
          <w:color w:val="000000"/>
        </w:rPr>
        <w:t xml:space="preserve">it is clear that under each of these viewpoints, an Article I </w:t>
      </w:r>
      <w:r w:rsidR="00A57FC8">
        <w:rPr>
          <w:rStyle w:val="Emphasis"/>
          <w:i w:val="0"/>
          <w:iCs w:val="0"/>
          <w:color w:val="000000"/>
        </w:rPr>
        <w:t>i</w:t>
      </w:r>
      <w:r w:rsidRPr="006D3942">
        <w:rPr>
          <w:rStyle w:val="Emphasis"/>
          <w:i w:val="0"/>
          <w:iCs w:val="0"/>
          <w:color w:val="000000"/>
        </w:rPr>
        <w:t xml:space="preserve">mmigration </w:t>
      </w:r>
      <w:r w:rsidR="00A57FC8">
        <w:rPr>
          <w:rStyle w:val="Emphasis"/>
          <w:i w:val="0"/>
          <w:iCs w:val="0"/>
          <w:color w:val="000000"/>
        </w:rPr>
        <w:t>c</w:t>
      </w:r>
      <w:r w:rsidRPr="006D3942">
        <w:rPr>
          <w:rStyle w:val="Emphasis"/>
          <w:i w:val="0"/>
          <w:iCs w:val="0"/>
          <w:color w:val="000000"/>
        </w:rPr>
        <w:t xml:space="preserve">ourt would be an improvement over the current system in terms of ensuring decisional independence from the </w:t>
      </w:r>
      <w:r w:rsidR="002D730A">
        <w:rPr>
          <w:rStyle w:val="Emphasis"/>
          <w:i w:val="0"/>
          <w:iCs w:val="0"/>
          <w:color w:val="000000"/>
        </w:rPr>
        <w:t>E</w:t>
      </w:r>
      <w:r w:rsidRPr="006D3942">
        <w:rPr>
          <w:rStyle w:val="Emphasis"/>
          <w:i w:val="0"/>
          <w:iCs w:val="0"/>
          <w:color w:val="000000"/>
        </w:rPr>
        <w:t xml:space="preserve">xecutive </w:t>
      </w:r>
      <w:r w:rsidR="002D730A">
        <w:rPr>
          <w:rStyle w:val="Emphasis"/>
          <w:i w:val="0"/>
          <w:iCs w:val="0"/>
          <w:color w:val="000000"/>
        </w:rPr>
        <w:t>B</w:t>
      </w:r>
      <w:r w:rsidRPr="006D3942">
        <w:rPr>
          <w:rStyle w:val="Emphasis"/>
          <w:i w:val="0"/>
          <w:iCs w:val="0"/>
          <w:color w:val="000000"/>
        </w:rPr>
        <w:t>ranch.</w:t>
      </w:r>
    </w:p>
    <w:p w14:paraId="494477AA" w14:textId="741AE905" w:rsidR="006D3942" w:rsidRPr="006D3942" w:rsidRDefault="006D3942" w:rsidP="00695136">
      <w:pPr>
        <w:pStyle w:val="Document"/>
        <w:rPr>
          <w:rStyle w:val="Emphasis"/>
          <w:i w:val="0"/>
          <w:iCs w:val="0"/>
          <w:color w:val="000000"/>
        </w:rPr>
      </w:pPr>
      <w:r w:rsidRPr="006D3942">
        <w:rPr>
          <w:rStyle w:val="Emphasis"/>
          <w:i w:val="0"/>
          <w:iCs w:val="0"/>
          <w:color w:val="000000"/>
        </w:rPr>
        <w:t xml:space="preserve">The main competing alternative to the creation of an Article I </w:t>
      </w:r>
      <w:r w:rsidR="00A57FC8">
        <w:rPr>
          <w:rStyle w:val="Emphasis"/>
          <w:i w:val="0"/>
          <w:iCs w:val="0"/>
          <w:color w:val="000000"/>
        </w:rPr>
        <w:t>i</w:t>
      </w:r>
      <w:r w:rsidRPr="006D3942">
        <w:rPr>
          <w:rStyle w:val="Emphasis"/>
          <w:i w:val="0"/>
          <w:iCs w:val="0"/>
          <w:color w:val="000000"/>
        </w:rPr>
        <w:t xml:space="preserve">mmigration </w:t>
      </w:r>
      <w:r w:rsidR="00A57FC8">
        <w:rPr>
          <w:rStyle w:val="Emphasis"/>
          <w:i w:val="0"/>
          <w:iCs w:val="0"/>
          <w:color w:val="000000"/>
        </w:rPr>
        <w:t>c</w:t>
      </w:r>
      <w:r w:rsidRPr="006D3942">
        <w:rPr>
          <w:rStyle w:val="Emphasis"/>
          <w:i w:val="0"/>
          <w:iCs w:val="0"/>
          <w:color w:val="000000"/>
        </w:rPr>
        <w:t xml:space="preserve">ourt in scholarship originates from </w:t>
      </w:r>
      <w:r w:rsidR="00FD0345">
        <w:rPr>
          <w:rStyle w:val="Emphasis"/>
          <w:i w:val="0"/>
          <w:iCs w:val="0"/>
          <w:color w:val="000000"/>
        </w:rPr>
        <w:t xml:space="preserve">those who are </w:t>
      </w:r>
      <w:r w:rsidRPr="006D3942">
        <w:rPr>
          <w:rStyle w:val="Emphasis"/>
          <w:i w:val="0"/>
          <w:iCs w:val="0"/>
          <w:color w:val="000000"/>
        </w:rPr>
        <w:t xml:space="preserve">concerned that a new court could further entrench the punitive nature of immigration </w:t>
      </w:r>
      <w:r w:rsidRPr="006D3942">
        <w:rPr>
          <w:rStyle w:val="Emphasis"/>
          <w:i w:val="0"/>
          <w:iCs w:val="0"/>
          <w:color w:val="000000"/>
        </w:rPr>
        <w:lastRenderedPageBreak/>
        <w:t>laws.</w:t>
      </w:r>
      <w:bookmarkStart w:id="46" w:name="_Ref177480052"/>
      <w:r w:rsidRPr="006D3942">
        <w:rPr>
          <w:rStyle w:val="NoteRefInText"/>
        </w:rPr>
        <w:footnoteReference w:id="135"/>
      </w:r>
      <w:bookmarkEnd w:id="46"/>
      <w:r w:rsidRPr="006D3942">
        <w:rPr>
          <w:rStyle w:val="Emphasis"/>
          <w:i w:val="0"/>
          <w:iCs w:val="0"/>
          <w:color w:val="000000"/>
        </w:rPr>
        <w:t xml:space="preserve"> Although it is outside the scope of this </w:t>
      </w:r>
      <w:r w:rsidR="00E94462">
        <w:rPr>
          <w:rStyle w:val="Emphasis"/>
          <w:i w:val="0"/>
          <w:iCs w:val="0"/>
          <w:color w:val="000000"/>
        </w:rPr>
        <w:t xml:space="preserve">Note </w:t>
      </w:r>
      <w:r w:rsidRPr="006D3942">
        <w:rPr>
          <w:rStyle w:val="Emphasis"/>
          <w:i w:val="0"/>
          <w:iCs w:val="0"/>
          <w:color w:val="000000"/>
        </w:rPr>
        <w:t>to consider a greater overhaul of immigration laws in general, some scholars raise valid concerns by suggesting that an Article I court could further legitimize the deportation system through a more formal court structure and would impede efforts to decrease the use of deportation as a tool for enforcement entirely.</w:t>
      </w:r>
      <w:r w:rsidRPr="006D3942">
        <w:rPr>
          <w:rStyle w:val="NoteRefInText"/>
        </w:rPr>
        <w:footnoteReference w:id="136"/>
      </w:r>
      <w:r w:rsidRPr="006D3942">
        <w:rPr>
          <w:rStyle w:val="Emphasis"/>
          <w:i w:val="0"/>
          <w:iCs w:val="0"/>
          <w:color w:val="000000"/>
        </w:rPr>
        <w:t xml:space="preserve"> Given this potential downside, </w:t>
      </w:r>
      <w:r w:rsidR="00FD0345">
        <w:rPr>
          <w:rStyle w:val="Emphasis"/>
          <w:i w:val="0"/>
          <w:iCs w:val="0"/>
          <w:color w:val="000000"/>
        </w:rPr>
        <w:t xml:space="preserve">some of these academics </w:t>
      </w:r>
      <w:r w:rsidRPr="006D3942">
        <w:rPr>
          <w:rStyle w:val="Emphasis"/>
          <w:i w:val="0"/>
          <w:iCs w:val="0"/>
          <w:color w:val="000000"/>
        </w:rPr>
        <w:t xml:space="preserve">push </w:t>
      </w:r>
      <w:r w:rsidR="00FD0345">
        <w:rPr>
          <w:rStyle w:val="Emphasis"/>
          <w:i w:val="0"/>
          <w:iCs w:val="0"/>
          <w:color w:val="000000"/>
        </w:rPr>
        <w:t xml:space="preserve">instead </w:t>
      </w:r>
      <w:r w:rsidRPr="006D3942">
        <w:rPr>
          <w:rStyle w:val="Emphasis"/>
          <w:i w:val="0"/>
          <w:iCs w:val="0"/>
          <w:color w:val="000000"/>
        </w:rPr>
        <w:t>for a fully administrative process of immigration</w:t>
      </w:r>
      <w:r w:rsidR="00FD0345">
        <w:rPr>
          <w:rStyle w:val="Emphasis"/>
          <w:i w:val="0"/>
          <w:iCs w:val="0"/>
          <w:color w:val="000000"/>
        </w:rPr>
        <w:t>-</w:t>
      </w:r>
      <w:r w:rsidRPr="006D3942">
        <w:rPr>
          <w:rStyle w:val="Emphasis"/>
          <w:i w:val="0"/>
          <w:iCs w:val="0"/>
          <w:color w:val="000000"/>
        </w:rPr>
        <w:t>claim</w:t>
      </w:r>
      <w:r w:rsidR="00FD0345">
        <w:rPr>
          <w:rStyle w:val="Emphasis"/>
          <w:i w:val="0"/>
          <w:iCs w:val="0"/>
          <w:color w:val="000000"/>
        </w:rPr>
        <w:t xml:space="preserve"> adjudication,</w:t>
      </w:r>
      <w:r w:rsidRPr="006D3942">
        <w:rPr>
          <w:rStyle w:val="Emphasis"/>
          <w:i w:val="0"/>
          <w:iCs w:val="0"/>
          <w:color w:val="000000"/>
        </w:rPr>
        <w:t xml:space="preserve"> with the goal of removing the punitive nature of a formal court setting.</w:t>
      </w:r>
      <w:r w:rsidRPr="006D3942">
        <w:rPr>
          <w:rStyle w:val="NoteRefInText"/>
        </w:rPr>
        <w:footnoteReference w:id="137"/>
      </w:r>
      <w:r w:rsidRPr="006D3942">
        <w:rPr>
          <w:rStyle w:val="Emphasis"/>
          <w:i w:val="0"/>
          <w:iCs w:val="0"/>
          <w:color w:val="000000"/>
        </w:rPr>
        <w:t xml:space="preserve"> </w:t>
      </w:r>
      <w:r w:rsidR="00502B9B">
        <w:rPr>
          <w:rStyle w:val="Emphasis"/>
          <w:i w:val="0"/>
          <w:iCs w:val="0"/>
          <w:color w:val="000000"/>
        </w:rPr>
        <w:t xml:space="preserve">Or in the alternative, other scholars suggest </w:t>
      </w:r>
      <w:r w:rsidR="00F67D78">
        <w:rPr>
          <w:rStyle w:val="Emphasis"/>
          <w:i w:val="0"/>
          <w:iCs w:val="0"/>
          <w:color w:val="000000"/>
        </w:rPr>
        <w:t>creating new jurisdiction</w:t>
      </w:r>
      <w:r w:rsidR="000D6F5F">
        <w:rPr>
          <w:rStyle w:val="Emphasis"/>
          <w:i w:val="0"/>
          <w:iCs w:val="0"/>
          <w:color w:val="000000"/>
        </w:rPr>
        <w:t>s</w:t>
      </w:r>
      <w:r w:rsidR="00F67D78">
        <w:rPr>
          <w:rStyle w:val="Emphasis"/>
          <w:i w:val="0"/>
          <w:iCs w:val="0"/>
          <w:color w:val="000000"/>
        </w:rPr>
        <w:t xml:space="preserve"> and procedures for adjudications</w:t>
      </w:r>
      <w:r w:rsidR="00155F6D">
        <w:rPr>
          <w:rStyle w:val="Emphasis"/>
          <w:i w:val="0"/>
          <w:iCs w:val="0"/>
          <w:color w:val="000000"/>
        </w:rPr>
        <w:t>,</w:t>
      </w:r>
      <w:r w:rsidR="0006476B">
        <w:rPr>
          <w:rStyle w:val="Emphasis"/>
          <w:i w:val="0"/>
          <w:iCs w:val="0"/>
          <w:color w:val="000000"/>
        </w:rPr>
        <w:t xml:space="preserve"> </w:t>
      </w:r>
      <w:r w:rsidR="00F67D78">
        <w:rPr>
          <w:rStyle w:val="Emphasis"/>
          <w:i w:val="0"/>
          <w:iCs w:val="0"/>
          <w:color w:val="000000"/>
        </w:rPr>
        <w:t xml:space="preserve">such </w:t>
      </w:r>
      <w:r w:rsidR="001550FE">
        <w:rPr>
          <w:rStyle w:val="Emphasis"/>
          <w:i w:val="0"/>
          <w:iCs w:val="0"/>
          <w:color w:val="000000"/>
        </w:rPr>
        <w:t xml:space="preserve">as </w:t>
      </w:r>
      <w:r w:rsidR="00F67D78">
        <w:rPr>
          <w:rStyle w:val="Emphasis"/>
          <w:i w:val="0"/>
          <w:iCs w:val="0"/>
          <w:color w:val="000000"/>
        </w:rPr>
        <w:t xml:space="preserve">removing the power of </w:t>
      </w:r>
      <w:r w:rsidR="003E2BB4">
        <w:rPr>
          <w:rStyle w:val="Emphasis"/>
          <w:i w:val="0"/>
          <w:iCs w:val="0"/>
          <w:color w:val="000000"/>
        </w:rPr>
        <w:t>immigration courts to hear cases related to the detention of individuals or shifting</w:t>
      </w:r>
      <w:r w:rsidR="00974B77">
        <w:rPr>
          <w:rStyle w:val="Emphasis"/>
          <w:i w:val="0"/>
          <w:iCs w:val="0"/>
          <w:color w:val="000000"/>
        </w:rPr>
        <w:t xml:space="preserve"> </w:t>
      </w:r>
      <w:r w:rsidR="004A044F">
        <w:rPr>
          <w:rStyle w:val="Emphasis"/>
          <w:i w:val="0"/>
          <w:iCs w:val="0"/>
          <w:color w:val="000000"/>
        </w:rPr>
        <w:t xml:space="preserve">away from </w:t>
      </w:r>
      <w:r w:rsidR="00974B77">
        <w:rPr>
          <w:rStyle w:val="Emphasis"/>
          <w:i w:val="0"/>
          <w:iCs w:val="0"/>
          <w:color w:val="000000"/>
        </w:rPr>
        <w:t>deportation proceedings</w:t>
      </w:r>
      <w:r w:rsidR="008855B6">
        <w:rPr>
          <w:rStyle w:val="Emphasis"/>
          <w:i w:val="0"/>
          <w:iCs w:val="0"/>
          <w:color w:val="000000"/>
        </w:rPr>
        <w:t xml:space="preserve"> to move</w:t>
      </w:r>
      <w:r w:rsidR="003E2BB4">
        <w:rPr>
          <w:rStyle w:val="Emphasis"/>
          <w:i w:val="0"/>
          <w:iCs w:val="0"/>
          <w:color w:val="000000"/>
        </w:rPr>
        <w:t xml:space="preserve"> asylum adjudications</w:t>
      </w:r>
      <w:r w:rsidR="00535714">
        <w:rPr>
          <w:rStyle w:val="Emphasis"/>
          <w:i w:val="0"/>
          <w:iCs w:val="0"/>
          <w:color w:val="000000"/>
        </w:rPr>
        <w:t xml:space="preserve"> </w:t>
      </w:r>
      <w:r w:rsidR="008855B6">
        <w:rPr>
          <w:rStyle w:val="Emphasis"/>
          <w:i w:val="0"/>
          <w:iCs w:val="0"/>
          <w:color w:val="000000"/>
        </w:rPr>
        <w:t>out of immigration court</w:t>
      </w:r>
      <w:r w:rsidR="004A044F">
        <w:rPr>
          <w:rStyle w:val="Emphasis"/>
          <w:i w:val="0"/>
          <w:iCs w:val="0"/>
          <w:color w:val="000000"/>
        </w:rPr>
        <w:t>s</w:t>
      </w:r>
      <w:r w:rsidR="00D73279">
        <w:rPr>
          <w:rStyle w:val="Emphasis"/>
          <w:i w:val="0"/>
          <w:iCs w:val="0"/>
          <w:color w:val="000000"/>
        </w:rPr>
        <w:t>.</w:t>
      </w:r>
      <w:r w:rsidR="00D73279" w:rsidRPr="00B053B5">
        <w:rPr>
          <w:rStyle w:val="NoteRefInText"/>
        </w:rPr>
        <w:footnoteReference w:id="138"/>
      </w:r>
      <w:r w:rsidR="00F67D78">
        <w:rPr>
          <w:rStyle w:val="Emphasis"/>
          <w:i w:val="0"/>
          <w:iCs w:val="0"/>
          <w:color w:val="000000"/>
        </w:rPr>
        <w:t xml:space="preserve"> </w:t>
      </w:r>
      <w:r w:rsidR="00FD0345">
        <w:rPr>
          <w:rStyle w:val="Emphasis"/>
          <w:i w:val="0"/>
          <w:iCs w:val="0"/>
          <w:color w:val="000000"/>
        </w:rPr>
        <w:t xml:space="preserve">All </w:t>
      </w:r>
      <w:r w:rsidRPr="006D3942">
        <w:rPr>
          <w:rStyle w:val="Emphasis"/>
          <w:i w:val="0"/>
          <w:iCs w:val="0"/>
          <w:color w:val="000000"/>
        </w:rPr>
        <w:t>raise valid and competing concerns that reach far beyond the singular goal of increasing judicial independence in immigration adjudications and implicate broader questions about the type of immigration legal system that should exist in the United States.</w:t>
      </w:r>
    </w:p>
    <w:p w14:paraId="54A0ABD6" w14:textId="76C26BA4" w:rsidR="00C74AE3" w:rsidRDefault="006D3942" w:rsidP="00695136">
      <w:pPr>
        <w:pStyle w:val="Document"/>
        <w:rPr>
          <w:rStyle w:val="Emphasis"/>
          <w:i w:val="0"/>
          <w:iCs w:val="0"/>
          <w:color w:val="000000"/>
        </w:rPr>
      </w:pPr>
      <w:r w:rsidRPr="006D3942">
        <w:rPr>
          <w:rStyle w:val="Emphasis"/>
          <w:i w:val="0"/>
          <w:iCs w:val="0"/>
          <w:color w:val="000000"/>
        </w:rPr>
        <w:t xml:space="preserve">Despite reasonable debate over the underlying goals of immigration reform, there is a surprising </w:t>
      </w:r>
      <w:r w:rsidR="00764910">
        <w:rPr>
          <w:rStyle w:val="Emphasis"/>
          <w:i w:val="0"/>
          <w:iCs w:val="0"/>
          <w:color w:val="000000"/>
        </w:rPr>
        <w:t>level of agreement among interested parties</w:t>
      </w:r>
      <w:r w:rsidRPr="006D3942">
        <w:rPr>
          <w:rStyle w:val="Emphasis"/>
          <w:i w:val="0"/>
          <w:iCs w:val="0"/>
          <w:color w:val="000000"/>
        </w:rPr>
        <w:t xml:space="preserve"> that an Article I </w:t>
      </w:r>
      <w:r w:rsidR="00A57FC8">
        <w:rPr>
          <w:rStyle w:val="Emphasis"/>
          <w:i w:val="0"/>
          <w:iCs w:val="0"/>
          <w:color w:val="000000"/>
        </w:rPr>
        <w:t>i</w:t>
      </w:r>
      <w:r w:rsidRPr="006D3942">
        <w:rPr>
          <w:rStyle w:val="Emphasis"/>
          <w:i w:val="0"/>
          <w:iCs w:val="0"/>
          <w:color w:val="000000"/>
        </w:rPr>
        <w:t xml:space="preserve">mmigration </w:t>
      </w:r>
      <w:r w:rsidR="00A57FC8">
        <w:rPr>
          <w:rStyle w:val="Emphasis"/>
          <w:i w:val="0"/>
          <w:iCs w:val="0"/>
          <w:color w:val="000000"/>
        </w:rPr>
        <w:t>c</w:t>
      </w:r>
      <w:r w:rsidRPr="006D3942">
        <w:rPr>
          <w:rStyle w:val="Emphasis"/>
          <w:i w:val="0"/>
          <w:iCs w:val="0"/>
          <w:color w:val="000000"/>
        </w:rPr>
        <w:t>ourt would be an improvement over the current system, at least in terms of increasing the decisional independence of immigration courts</w:t>
      </w:r>
      <w:r w:rsidR="008A5C89">
        <w:rPr>
          <w:rStyle w:val="Emphasis"/>
          <w:i w:val="0"/>
          <w:iCs w:val="0"/>
          <w:color w:val="000000"/>
        </w:rPr>
        <w:t xml:space="preserve"> and removing the courts from control by the Executive </w:t>
      </w:r>
      <w:r w:rsidR="00F258E0">
        <w:rPr>
          <w:rStyle w:val="Emphasis"/>
          <w:i w:val="0"/>
          <w:iCs w:val="0"/>
          <w:color w:val="000000"/>
        </w:rPr>
        <w:t>B</w:t>
      </w:r>
      <w:r w:rsidR="008A5C89">
        <w:rPr>
          <w:rStyle w:val="Emphasis"/>
          <w:i w:val="0"/>
          <w:iCs w:val="0"/>
          <w:color w:val="000000"/>
        </w:rPr>
        <w:t>ranch</w:t>
      </w:r>
      <w:r w:rsidRPr="006D3942">
        <w:rPr>
          <w:rStyle w:val="Emphasis"/>
          <w:i w:val="0"/>
          <w:iCs w:val="0"/>
          <w:color w:val="000000"/>
        </w:rPr>
        <w:t>.</w:t>
      </w:r>
    </w:p>
    <w:p w14:paraId="353EA550" w14:textId="007204C1" w:rsidR="00273780" w:rsidRDefault="00EA74B4" w:rsidP="00695136">
      <w:pPr>
        <w:pStyle w:val="Document"/>
        <w:rPr>
          <w:rStyle w:val="Emphasis"/>
          <w:i w:val="0"/>
          <w:iCs w:val="0"/>
          <w:color w:val="000000"/>
        </w:rPr>
      </w:pPr>
      <w:r>
        <w:rPr>
          <w:rStyle w:val="Emphasis"/>
          <w:i w:val="0"/>
          <w:iCs w:val="0"/>
          <w:color w:val="000000"/>
        </w:rPr>
        <w:t xml:space="preserve">Yet, </w:t>
      </w:r>
      <w:r w:rsidR="00DC3D02">
        <w:rPr>
          <w:rStyle w:val="Emphasis"/>
          <w:i w:val="0"/>
          <w:iCs w:val="0"/>
          <w:color w:val="000000"/>
        </w:rPr>
        <w:t>proposal</w:t>
      </w:r>
      <w:r w:rsidR="00302F0D">
        <w:rPr>
          <w:rStyle w:val="Emphasis"/>
          <w:i w:val="0"/>
          <w:iCs w:val="0"/>
          <w:color w:val="000000"/>
        </w:rPr>
        <w:t>s</w:t>
      </w:r>
      <w:r w:rsidR="00DC3D02">
        <w:rPr>
          <w:rStyle w:val="Emphasis"/>
          <w:i w:val="0"/>
          <w:iCs w:val="0"/>
          <w:color w:val="000000"/>
        </w:rPr>
        <w:t xml:space="preserve"> for </w:t>
      </w:r>
      <w:r w:rsidR="00302F0D">
        <w:rPr>
          <w:rStyle w:val="Emphasis"/>
          <w:i w:val="0"/>
          <w:iCs w:val="0"/>
          <w:color w:val="000000"/>
        </w:rPr>
        <w:t>this type of reform</w:t>
      </w:r>
      <w:r w:rsidR="00E72F90">
        <w:rPr>
          <w:rStyle w:val="Emphasis"/>
          <w:i w:val="0"/>
          <w:iCs w:val="0"/>
          <w:color w:val="000000"/>
        </w:rPr>
        <w:t xml:space="preserve"> </w:t>
      </w:r>
      <w:r w:rsidR="00FD0345">
        <w:rPr>
          <w:rStyle w:val="Emphasis"/>
          <w:i w:val="0"/>
          <w:iCs w:val="0"/>
          <w:color w:val="000000"/>
        </w:rPr>
        <w:t xml:space="preserve">still </w:t>
      </w:r>
      <w:r w:rsidR="008A5C89">
        <w:rPr>
          <w:rStyle w:val="Emphasis"/>
          <w:i w:val="0"/>
          <w:iCs w:val="0"/>
          <w:color w:val="000000"/>
        </w:rPr>
        <w:t>face</w:t>
      </w:r>
      <w:r w:rsidR="00302F0D">
        <w:rPr>
          <w:rStyle w:val="Emphasis"/>
          <w:i w:val="0"/>
          <w:iCs w:val="0"/>
          <w:color w:val="000000"/>
        </w:rPr>
        <w:t xml:space="preserve"> immense challenges</w:t>
      </w:r>
      <w:r w:rsidR="006D3942" w:rsidRPr="006D3942">
        <w:rPr>
          <w:rStyle w:val="Emphasis"/>
          <w:i w:val="0"/>
          <w:iCs w:val="0"/>
          <w:color w:val="000000"/>
        </w:rPr>
        <w:t>.</w:t>
      </w:r>
      <w:bookmarkStart w:id="47" w:name="_Ref177480549"/>
      <w:r w:rsidR="006D3942" w:rsidRPr="006D3942">
        <w:rPr>
          <w:rStyle w:val="NoteRefInText"/>
        </w:rPr>
        <w:footnoteReference w:id="139"/>
      </w:r>
      <w:bookmarkEnd w:id="47"/>
      <w:r w:rsidR="00AF2CBC">
        <w:rPr>
          <w:rStyle w:val="Emphasis"/>
          <w:i w:val="0"/>
          <w:iCs w:val="0"/>
          <w:color w:val="000000"/>
        </w:rPr>
        <w:t xml:space="preserve"> These challenges give rise </w:t>
      </w:r>
      <w:r w:rsidR="005C3737">
        <w:rPr>
          <w:rStyle w:val="Emphasis"/>
          <w:i w:val="0"/>
          <w:iCs w:val="0"/>
          <w:color w:val="000000"/>
        </w:rPr>
        <w:t xml:space="preserve">to a </w:t>
      </w:r>
      <w:r w:rsidR="006D3942" w:rsidRPr="006D3942">
        <w:rPr>
          <w:rStyle w:val="Emphasis"/>
          <w:i w:val="0"/>
          <w:iCs w:val="0"/>
          <w:color w:val="000000"/>
        </w:rPr>
        <w:t>lingering question</w:t>
      </w:r>
      <w:r w:rsidR="00AF2CBC">
        <w:rPr>
          <w:rStyle w:val="Emphasis"/>
          <w:i w:val="0"/>
          <w:iCs w:val="0"/>
          <w:color w:val="000000"/>
        </w:rPr>
        <w:t xml:space="preserve"> about the viability of immigration</w:t>
      </w:r>
      <w:r w:rsidR="00FF6FDB">
        <w:rPr>
          <w:rStyle w:val="Emphasis"/>
          <w:i w:val="0"/>
          <w:iCs w:val="0"/>
          <w:color w:val="000000"/>
        </w:rPr>
        <w:t xml:space="preserve"> </w:t>
      </w:r>
      <w:r w:rsidR="00AF2CBC">
        <w:rPr>
          <w:rStyle w:val="Emphasis"/>
          <w:i w:val="0"/>
          <w:iCs w:val="0"/>
          <w:color w:val="000000"/>
        </w:rPr>
        <w:t>court reform</w:t>
      </w:r>
      <w:r w:rsidR="006D3942" w:rsidRPr="006D3942">
        <w:rPr>
          <w:rStyle w:val="Emphasis"/>
          <w:i w:val="0"/>
          <w:iCs w:val="0"/>
          <w:color w:val="000000"/>
        </w:rPr>
        <w:t xml:space="preserve">: </w:t>
      </w:r>
      <w:r w:rsidR="00D807A4">
        <w:rPr>
          <w:rStyle w:val="Emphasis"/>
          <w:i w:val="0"/>
          <w:iCs w:val="0"/>
          <w:color w:val="000000"/>
        </w:rPr>
        <w:t>W</w:t>
      </w:r>
      <w:r w:rsidR="006D3942" w:rsidRPr="006D3942">
        <w:rPr>
          <w:rStyle w:val="Emphasis"/>
          <w:i w:val="0"/>
          <w:iCs w:val="0"/>
          <w:color w:val="000000"/>
        </w:rPr>
        <w:t xml:space="preserve">hat shifts </w:t>
      </w:r>
      <w:r w:rsidR="008B36E6">
        <w:rPr>
          <w:rStyle w:val="Emphasis"/>
          <w:i w:val="0"/>
          <w:iCs w:val="0"/>
          <w:color w:val="000000"/>
        </w:rPr>
        <w:t xml:space="preserve">in the reform movement </w:t>
      </w:r>
      <w:r w:rsidR="006D3942" w:rsidRPr="006D3942">
        <w:rPr>
          <w:rStyle w:val="Emphasis"/>
          <w:i w:val="0"/>
          <w:iCs w:val="0"/>
          <w:color w:val="000000"/>
        </w:rPr>
        <w:t>can be made to make th</w:t>
      </w:r>
      <w:r w:rsidR="008B36E6">
        <w:rPr>
          <w:rStyle w:val="Emphasis"/>
          <w:i w:val="0"/>
          <w:iCs w:val="0"/>
          <w:color w:val="000000"/>
        </w:rPr>
        <w:t xml:space="preserve">ese changes </w:t>
      </w:r>
      <w:r w:rsidR="006D3942" w:rsidRPr="006D3942">
        <w:rPr>
          <w:rStyle w:val="Emphasis"/>
          <w:i w:val="0"/>
          <w:iCs w:val="0"/>
          <w:color w:val="000000"/>
        </w:rPr>
        <w:t>a more realistic possibility?</w:t>
      </w:r>
      <w:r w:rsidR="008B36E6">
        <w:rPr>
          <w:rStyle w:val="Emphasis"/>
          <w:i w:val="0"/>
          <w:iCs w:val="0"/>
          <w:color w:val="000000"/>
        </w:rPr>
        <w:t xml:space="preserve"> </w:t>
      </w:r>
      <w:r w:rsidR="006D3942" w:rsidRPr="006D3942">
        <w:rPr>
          <w:rStyle w:val="Emphasis"/>
          <w:i w:val="0"/>
          <w:iCs w:val="0"/>
          <w:color w:val="000000"/>
        </w:rPr>
        <w:t xml:space="preserve">As some scholars have </w:t>
      </w:r>
      <w:r w:rsidR="006D3942" w:rsidRPr="006D3942">
        <w:rPr>
          <w:rStyle w:val="Emphasis"/>
          <w:i w:val="0"/>
          <w:iCs w:val="0"/>
          <w:color w:val="000000"/>
        </w:rPr>
        <w:lastRenderedPageBreak/>
        <w:t xml:space="preserve">suggested, this question cannot be answered </w:t>
      </w:r>
      <w:r w:rsidR="004F6E5A">
        <w:rPr>
          <w:rStyle w:val="Emphasis"/>
          <w:i w:val="0"/>
          <w:iCs w:val="0"/>
          <w:color w:val="000000"/>
        </w:rPr>
        <w:t>solely</w:t>
      </w:r>
      <w:r w:rsidR="00AF2CBC" w:rsidRPr="006D3942">
        <w:rPr>
          <w:rStyle w:val="Emphasis"/>
          <w:i w:val="0"/>
          <w:iCs w:val="0"/>
          <w:color w:val="000000"/>
        </w:rPr>
        <w:t xml:space="preserve"> </w:t>
      </w:r>
      <w:r w:rsidR="006D3942" w:rsidRPr="006D3942">
        <w:rPr>
          <w:rStyle w:val="Emphasis"/>
          <w:i w:val="0"/>
          <w:iCs w:val="0"/>
          <w:color w:val="000000"/>
        </w:rPr>
        <w:t xml:space="preserve">by pointing to political polarization or </w:t>
      </w:r>
      <w:r w:rsidR="00AE1EEC">
        <w:rPr>
          <w:rStyle w:val="Emphasis"/>
          <w:i w:val="0"/>
          <w:iCs w:val="0"/>
          <w:color w:val="000000"/>
        </w:rPr>
        <w:t>the cost of creating a new court</w:t>
      </w:r>
      <w:r w:rsidR="00AE1EEC" w:rsidRPr="006D3942">
        <w:rPr>
          <w:rStyle w:val="Emphasis"/>
          <w:i w:val="0"/>
          <w:iCs w:val="0"/>
          <w:color w:val="000000"/>
        </w:rPr>
        <w:t xml:space="preserve"> </w:t>
      </w:r>
      <w:r w:rsidR="006D3942" w:rsidRPr="006D3942">
        <w:rPr>
          <w:rStyle w:val="Emphasis"/>
          <w:i w:val="0"/>
          <w:iCs w:val="0"/>
          <w:color w:val="000000"/>
        </w:rPr>
        <w:t>given the overwhelming expense of maintaining the current functioning of EOIR and the existence of numerous moments where the plan retained bipartisan support.</w:t>
      </w:r>
      <w:r w:rsidR="006D3942" w:rsidRPr="006D3942">
        <w:rPr>
          <w:rStyle w:val="NoteRefInText"/>
        </w:rPr>
        <w:footnoteReference w:id="140"/>
      </w:r>
      <w:r w:rsidR="000724A4">
        <w:rPr>
          <w:rStyle w:val="Emphasis"/>
          <w:i w:val="0"/>
          <w:iCs w:val="0"/>
          <w:color w:val="000000"/>
        </w:rPr>
        <w:t xml:space="preserve"> </w:t>
      </w:r>
      <w:r w:rsidR="004F6E5A">
        <w:rPr>
          <w:rStyle w:val="Emphasis"/>
          <w:i w:val="0"/>
          <w:iCs w:val="0"/>
          <w:color w:val="000000"/>
        </w:rPr>
        <w:t>Moreover, as the story of immigration reform demonstrates, appeals to the value</w:t>
      </w:r>
      <w:r w:rsidR="002C6786">
        <w:rPr>
          <w:rStyle w:val="Emphasis"/>
          <w:i w:val="0"/>
          <w:iCs w:val="0"/>
          <w:color w:val="000000"/>
        </w:rPr>
        <w:t xml:space="preserve"> of</w:t>
      </w:r>
      <w:r w:rsidR="004F6E5A">
        <w:rPr>
          <w:rStyle w:val="Emphasis"/>
          <w:i w:val="0"/>
          <w:iCs w:val="0"/>
          <w:color w:val="000000"/>
        </w:rPr>
        <w:t xml:space="preserve"> increasing judicial independence have been constant throughout the history of the reform movemen</w:t>
      </w:r>
      <w:r w:rsidR="00273780">
        <w:rPr>
          <w:rStyle w:val="Emphasis"/>
          <w:i w:val="0"/>
          <w:iCs w:val="0"/>
          <w:color w:val="000000"/>
        </w:rPr>
        <w:t xml:space="preserve">t. </w:t>
      </w:r>
    </w:p>
    <w:p w14:paraId="32975827" w14:textId="5EE9A5AA" w:rsidR="006D3942" w:rsidRPr="006D3942" w:rsidRDefault="00273780" w:rsidP="00695136">
      <w:pPr>
        <w:pStyle w:val="Document"/>
        <w:rPr>
          <w:rStyle w:val="Emphasis"/>
          <w:i w:val="0"/>
          <w:iCs w:val="0"/>
          <w:color w:val="000000"/>
        </w:rPr>
      </w:pPr>
      <w:r>
        <w:rPr>
          <w:rStyle w:val="Emphasis"/>
          <w:i w:val="0"/>
          <w:iCs w:val="0"/>
          <w:color w:val="000000"/>
        </w:rPr>
        <w:t>Despite these efforts, t</w:t>
      </w:r>
      <w:r w:rsidR="006D3942" w:rsidRPr="006D3942">
        <w:rPr>
          <w:rStyle w:val="Emphasis"/>
          <w:i w:val="0"/>
          <w:iCs w:val="0"/>
          <w:color w:val="000000"/>
        </w:rPr>
        <w:t xml:space="preserve">he </w:t>
      </w:r>
      <w:r w:rsidR="00AE1EEC">
        <w:rPr>
          <w:rStyle w:val="Emphasis"/>
          <w:i w:val="0"/>
          <w:iCs w:val="0"/>
          <w:color w:val="000000"/>
        </w:rPr>
        <w:t>difficulties to sy</w:t>
      </w:r>
      <w:r w:rsidR="007679AB">
        <w:rPr>
          <w:rStyle w:val="Emphasis"/>
          <w:i w:val="0"/>
          <w:iCs w:val="0"/>
          <w:color w:val="000000"/>
        </w:rPr>
        <w:t>stemic immigration</w:t>
      </w:r>
      <w:r w:rsidR="006D3942" w:rsidRPr="006D3942">
        <w:rPr>
          <w:rStyle w:val="Emphasis"/>
          <w:i w:val="0"/>
          <w:iCs w:val="0"/>
          <w:color w:val="000000"/>
        </w:rPr>
        <w:t xml:space="preserve"> reform </w:t>
      </w:r>
      <w:r w:rsidR="00FD0345">
        <w:rPr>
          <w:rStyle w:val="Emphasis"/>
          <w:i w:val="0"/>
          <w:iCs w:val="0"/>
          <w:color w:val="000000"/>
        </w:rPr>
        <w:t xml:space="preserve">have deep </w:t>
      </w:r>
      <w:r w:rsidR="008B36E6">
        <w:rPr>
          <w:rStyle w:val="Emphasis"/>
          <w:i w:val="0"/>
          <w:iCs w:val="0"/>
          <w:color w:val="000000"/>
        </w:rPr>
        <w:t>constitutional</w:t>
      </w:r>
      <w:r w:rsidR="00FD0345">
        <w:rPr>
          <w:rStyle w:val="Emphasis"/>
          <w:i w:val="0"/>
          <w:iCs w:val="0"/>
          <w:color w:val="000000"/>
        </w:rPr>
        <w:t xml:space="preserve"> roots</w:t>
      </w:r>
      <w:r>
        <w:rPr>
          <w:rStyle w:val="Emphasis"/>
          <w:i w:val="0"/>
          <w:iCs w:val="0"/>
          <w:color w:val="000000"/>
        </w:rPr>
        <w:t>. Importantly, these difficulties</w:t>
      </w:r>
      <w:r w:rsidR="008B36E6">
        <w:rPr>
          <w:rStyle w:val="Emphasis"/>
          <w:i w:val="0"/>
          <w:iCs w:val="0"/>
          <w:color w:val="000000"/>
        </w:rPr>
        <w:t xml:space="preserve"> </w:t>
      </w:r>
      <w:r w:rsidR="00FD0345">
        <w:rPr>
          <w:rStyle w:val="Emphasis"/>
          <w:i w:val="0"/>
          <w:iCs w:val="0"/>
          <w:color w:val="000000"/>
        </w:rPr>
        <w:t xml:space="preserve">stem from </w:t>
      </w:r>
      <w:r w:rsidR="006D3942" w:rsidRPr="006D3942">
        <w:rPr>
          <w:rStyle w:val="Emphasis"/>
          <w:i w:val="0"/>
          <w:iCs w:val="0"/>
          <w:color w:val="000000"/>
        </w:rPr>
        <w:t xml:space="preserve">the </w:t>
      </w:r>
      <w:r w:rsidR="002D730A">
        <w:rPr>
          <w:rStyle w:val="Emphasis"/>
          <w:i w:val="0"/>
          <w:iCs w:val="0"/>
          <w:color w:val="000000"/>
        </w:rPr>
        <w:t>E</w:t>
      </w:r>
      <w:r w:rsidR="006D3942" w:rsidRPr="006D3942">
        <w:rPr>
          <w:rStyle w:val="Emphasis"/>
          <w:i w:val="0"/>
          <w:iCs w:val="0"/>
          <w:color w:val="000000"/>
        </w:rPr>
        <w:t xml:space="preserve">xecutive </w:t>
      </w:r>
      <w:r w:rsidR="002D730A">
        <w:rPr>
          <w:rStyle w:val="Emphasis"/>
          <w:i w:val="0"/>
          <w:iCs w:val="0"/>
          <w:color w:val="000000"/>
        </w:rPr>
        <w:t>B</w:t>
      </w:r>
      <w:r w:rsidR="006D3942" w:rsidRPr="006D3942">
        <w:rPr>
          <w:rStyle w:val="Emphasis"/>
          <w:i w:val="0"/>
          <w:iCs w:val="0"/>
          <w:color w:val="000000"/>
        </w:rPr>
        <w:t>ranch</w:t>
      </w:r>
      <w:r w:rsidR="00FD0345">
        <w:rPr>
          <w:rStyle w:val="Emphasis"/>
          <w:i w:val="0"/>
          <w:iCs w:val="0"/>
          <w:color w:val="000000"/>
        </w:rPr>
        <w:t>’s fundamental desire</w:t>
      </w:r>
      <w:r w:rsidR="006D3942" w:rsidRPr="006D3942">
        <w:rPr>
          <w:rStyle w:val="Emphasis"/>
          <w:i w:val="0"/>
          <w:iCs w:val="0"/>
          <w:color w:val="000000"/>
        </w:rPr>
        <w:t xml:space="preserve"> to retain control and power </w:t>
      </w:r>
      <w:r w:rsidR="008B36E6">
        <w:rPr>
          <w:rStyle w:val="Emphasis"/>
          <w:i w:val="0"/>
          <w:iCs w:val="0"/>
          <w:color w:val="000000"/>
        </w:rPr>
        <w:t xml:space="preserve">over immigration </w:t>
      </w:r>
      <w:r w:rsidR="003A3532">
        <w:rPr>
          <w:rStyle w:val="Emphasis"/>
          <w:i w:val="0"/>
          <w:iCs w:val="0"/>
          <w:color w:val="000000"/>
        </w:rPr>
        <w:t xml:space="preserve">by </w:t>
      </w:r>
      <w:r w:rsidR="006D3942" w:rsidRPr="006D3942">
        <w:rPr>
          <w:rStyle w:val="Emphasis"/>
          <w:i w:val="0"/>
          <w:iCs w:val="0"/>
          <w:color w:val="000000"/>
        </w:rPr>
        <w:t>exclud</w:t>
      </w:r>
      <w:r w:rsidR="003A3532">
        <w:rPr>
          <w:rStyle w:val="Emphasis"/>
          <w:i w:val="0"/>
          <w:iCs w:val="0"/>
          <w:color w:val="000000"/>
        </w:rPr>
        <w:t>ing</w:t>
      </w:r>
      <w:r w:rsidR="006D3942" w:rsidRPr="006D3942">
        <w:rPr>
          <w:rStyle w:val="Emphasis"/>
          <w:i w:val="0"/>
          <w:iCs w:val="0"/>
          <w:color w:val="000000"/>
        </w:rPr>
        <w:t xml:space="preserve"> the other branches </w:t>
      </w:r>
      <w:r w:rsidR="003A3532">
        <w:rPr>
          <w:rStyle w:val="Emphasis"/>
          <w:i w:val="0"/>
          <w:iCs w:val="0"/>
          <w:color w:val="000000"/>
        </w:rPr>
        <w:t xml:space="preserve">of government </w:t>
      </w:r>
      <w:r w:rsidR="006D3942" w:rsidRPr="006D3942">
        <w:rPr>
          <w:rStyle w:val="Emphasis"/>
          <w:i w:val="0"/>
          <w:iCs w:val="0"/>
          <w:color w:val="000000"/>
        </w:rPr>
        <w:t>from influence.</w:t>
      </w:r>
      <w:r w:rsidR="006D3942" w:rsidRPr="006D3942">
        <w:rPr>
          <w:rStyle w:val="NoteRefInText"/>
        </w:rPr>
        <w:footnoteReference w:id="141"/>
      </w:r>
    </w:p>
    <w:p w14:paraId="4275D971" w14:textId="281C07A0" w:rsidR="00880EF0" w:rsidRPr="001C3964" w:rsidRDefault="006D3942" w:rsidP="00695136">
      <w:pPr>
        <w:pStyle w:val="Document"/>
        <w:rPr>
          <w:rStyle w:val="Emphasis"/>
          <w:i w:val="0"/>
          <w:iCs w:val="0"/>
          <w:color w:val="000000"/>
          <w:szCs w:val="22"/>
        </w:rPr>
      </w:pPr>
      <w:r w:rsidRPr="001C3964">
        <w:rPr>
          <w:rStyle w:val="Emphasis"/>
          <w:i w:val="0"/>
          <w:iCs w:val="0"/>
          <w:color w:val="000000"/>
          <w:szCs w:val="22"/>
        </w:rPr>
        <w:t xml:space="preserve">Thus, the </w:t>
      </w:r>
      <w:r w:rsidR="00474627">
        <w:rPr>
          <w:rStyle w:val="Emphasis"/>
          <w:i w:val="0"/>
          <w:iCs w:val="0"/>
          <w:color w:val="000000"/>
          <w:szCs w:val="22"/>
        </w:rPr>
        <w:t>problem</w:t>
      </w:r>
      <w:r w:rsidR="00474627" w:rsidRPr="001C3964">
        <w:rPr>
          <w:rStyle w:val="Emphasis"/>
          <w:i w:val="0"/>
          <w:iCs w:val="0"/>
          <w:color w:val="000000"/>
          <w:szCs w:val="22"/>
        </w:rPr>
        <w:t xml:space="preserve"> </w:t>
      </w:r>
      <w:r w:rsidRPr="001C3964">
        <w:rPr>
          <w:rStyle w:val="Emphasis"/>
          <w:i w:val="0"/>
          <w:iCs w:val="0"/>
          <w:color w:val="000000"/>
          <w:szCs w:val="22"/>
        </w:rPr>
        <w:t xml:space="preserve">of how to create a more independent </w:t>
      </w:r>
      <w:r w:rsidR="00CA15D0">
        <w:rPr>
          <w:rStyle w:val="Emphasis"/>
          <w:i w:val="0"/>
          <w:iCs w:val="0"/>
          <w:color w:val="000000"/>
          <w:szCs w:val="22"/>
        </w:rPr>
        <w:t>i</w:t>
      </w:r>
      <w:r w:rsidRPr="00CA15D0">
        <w:rPr>
          <w:rStyle w:val="Emphasis"/>
          <w:i w:val="0"/>
          <w:iCs w:val="0"/>
          <w:color w:val="000000"/>
          <w:szCs w:val="22"/>
        </w:rPr>
        <w:t>mmigration</w:t>
      </w:r>
      <w:r w:rsidRPr="001C3964">
        <w:rPr>
          <w:rStyle w:val="Emphasis"/>
          <w:i w:val="0"/>
          <w:iCs w:val="0"/>
          <w:color w:val="000000"/>
          <w:szCs w:val="22"/>
        </w:rPr>
        <w:t xml:space="preserve"> </w:t>
      </w:r>
      <w:r w:rsidR="00CA15D0">
        <w:rPr>
          <w:rStyle w:val="Emphasis"/>
          <w:i w:val="0"/>
          <w:iCs w:val="0"/>
          <w:color w:val="000000"/>
          <w:szCs w:val="22"/>
        </w:rPr>
        <w:t>c</w:t>
      </w:r>
      <w:r w:rsidRPr="001C3964">
        <w:rPr>
          <w:rStyle w:val="Emphasis"/>
          <w:i w:val="0"/>
          <w:iCs w:val="0"/>
          <w:color w:val="000000"/>
          <w:szCs w:val="22"/>
        </w:rPr>
        <w:t xml:space="preserve">ourt is not only </w:t>
      </w:r>
      <w:r w:rsidR="00474627">
        <w:rPr>
          <w:rStyle w:val="Emphasis"/>
          <w:i w:val="0"/>
          <w:iCs w:val="0"/>
          <w:color w:val="000000"/>
          <w:szCs w:val="22"/>
        </w:rPr>
        <w:t xml:space="preserve">a matter </w:t>
      </w:r>
      <w:r w:rsidRPr="001C3964">
        <w:rPr>
          <w:rStyle w:val="Emphasis"/>
          <w:i w:val="0"/>
          <w:iCs w:val="0"/>
          <w:color w:val="000000"/>
          <w:szCs w:val="22"/>
        </w:rPr>
        <w:t xml:space="preserve">of advocating for the merits of </w:t>
      </w:r>
      <w:r w:rsidR="00273780">
        <w:rPr>
          <w:rStyle w:val="Emphasis"/>
          <w:i w:val="0"/>
          <w:iCs w:val="0"/>
          <w:color w:val="000000"/>
          <w:szCs w:val="22"/>
        </w:rPr>
        <w:t xml:space="preserve">judicial </w:t>
      </w:r>
      <w:r w:rsidRPr="001C3964">
        <w:rPr>
          <w:rStyle w:val="Emphasis"/>
          <w:i w:val="0"/>
          <w:iCs w:val="0"/>
          <w:color w:val="000000"/>
          <w:szCs w:val="22"/>
        </w:rPr>
        <w:t>independence</w:t>
      </w:r>
      <w:r w:rsidR="00155F6D">
        <w:rPr>
          <w:rStyle w:val="Emphasis"/>
          <w:i w:val="0"/>
          <w:iCs w:val="0"/>
          <w:color w:val="000000"/>
          <w:szCs w:val="22"/>
        </w:rPr>
        <w:t>; t</w:t>
      </w:r>
      <w:r w:rsidR="00EB4898">
        <w:rPr>
          <w:rStyle w:val="Emphasis"/>
          <w:i w:val="0"/>
          <w:iCs w:val="0"/>
          <w:color w:val="000000"/>
          <w:szCs w:val="22"/>
        </w:rPr>
        <w:t>he analysis</w:t>
      </w:r>
      <w:r w:rsidRPr="001C3964">
        <w:rPr>
          <w:rStyle w:val="Emphasis"/>
          <w:i w:val="0"/>
          <w:iCs w:val="0"/>
          <w:color w:val="000000"/>
          <w:szCs w:val="22"/>
        </w:rPr>
        <w:t xml:space="preserve"> </w:t>
      </w:r>
      <w:r w:rsidR="0042300C">
        <w:rPr>
          <w:rStyle w:val="Emphasis"/>
          <w:i w:val="0"/>
          <w:iCs w:val="0"/>
          <w:color w:val="000000"/>
          <w:szCs w:val="22"/>
        </w:rPr>
        <w:t>als</w:t>
      </w:r>
      <w:r w:rsidR="00474627">
        <w:rPr>
          <w:rStyle w:val="Emphasis"/>
          <w:i w:val="0"/>
          <w:iCs w:val="0"/>
          <w:color w:val="000000"/>
          <w:szCs w:val="22"/>
        </w:rPr>
        <w:t xml:space="preserve">o requires a broader look at the process required to </w:t>
      </w:r>
      <w:r w:rsidR="007172E0">
        <w:rPr>
          <w:rStyle w:val="Emphasis"/>
          <w:i w:val="0"/>
          <w:iCs w:val="0"/>
          <w:color w:val="000000"/>
          <w:szCs w:val="22"/>
        </w:rPr>
        <w:t>rebalanc</w:t>
      </w:r>
      <w:r w:rsidR="000E6D8D">
        <w:rPr>
          <w:rStyle w:val="Emphasis"/>
          <w:i w:val="0"/>
          <w:iCs w:val="0"/>
          <w:color w:val="000000"/>
          <w:szCs w:val="22"/>
        </w:rPr>
        <w:t>e</w:t>
      </w:r>
      <w:r w:rsidR="007172E0">
        <w:rPr>
          <w:rStyle w:val="Emphasis"/>
          <w:i w:val="0"/>
          <w:iCs w:val="0"/>
          <w:color w:val="000000"/>
          <w:szCs w:val="22"/>
        </w:rPr>
        <w:t xml:space="preserve"> power within</w:t>
      </w:r>
      <w:r w:rsidR="00FC6267">
        <w:rPr>
          <w:rStyle w:val="Emphasis"/>
          <w:i w:val="0"/>
          <w:iCs w:val="0"/>
          <w:color w:val="000000"/>
          <w:szCs w:val="22"/>
        </w:rPr>
        <w:t xml:space="preserve"> a legal</w:t>
      </w:r>
      <w:r w:rsidRPr="001C3964">
        <w:rPr>
          <w:rStyle w:val="Emphasis"/>
          <w:i w:val="0"/>
          <w:iCs w:val="0"/>
          <w:color w:val="000000"/>
          <w:szCs w:val="22"/>
        </w:rPr>
        <w:t xml:space="preserve"> system so heavily controlled by one branch of government.</w:t>
      </w:r>
      <w:r w:rsidR="00304B80">
        <w:rPr>
          <w:rStyle w:val="Emphasis"/>
          <w:i w:val="0"/>
          <w:iCs w:val="0"/>
          <w:color w:val="000000"/>
          <w:szCs w:val="22"/>
        </w:rPr>
        <w:t xml:space="preserve"> </w:t>
      </w:r>
      <w:r w:rsidR="00D31048">
        <w:rPr>
          <w:rStyle w:val="Emphasis"/>
          <w:i w:val="0"/>
          <w:iCs w:val="0"/>
          <w:color w:val="000000"/>
          <w:szCs w:val="22"/>
        </w:rPr>
        <w:t>This</w:t>
      </w:r>
      <w:r w:rsidR="00EB4898">
        <w:rPr>
          <w:rStyle w:val="Emphasis"/>
          <w:i w:val="0"/>
          <w:iCs w:val="0"/>
          <w:color w:val="000000"/>
          <w:szCs w:val="22"/>
        </w:rPr>
        <w:t xml:space="preserve"> perspective</w:t>
      </w:r>
      <w:r w:rsidR="00D31048">
        <w:rPr>
          <w:rStyle w:val="Emphasis"/>
          <w:i w:val="0"/>
          <w:iCs w:val="0"/>
          <w:color w:val="000000"/>
          <w:szCs w:val="22"/>
        </w:rPr>
        <w:t xml:space="preserve"> requires </w:t>
      </w:r>
      <w:r w:rsidR="00F977F6">
        <w:rPr>
          <w:rStyle w:val="Emphasis"/>
          <w:i w:val="0"/>
          <w:iCs w:val="0"/>
          <w:color w:val="000000"/>
          <w:szCs w:val="22"/>
        </w:rPr>
        <w:t xml:space="preserve">a shift to viewing this </w:t>
      </w:r>
      <w:r w:rsidR="00A4161B">
        <w:rPr>
          <w:rStyle w:val="Emphasis"/>
          <w:i w:val="0"/>
          <w:iCs w:val="0"/>
          <w:color w:val="000000"/>
          <w:szCs w:val="22"/>
        </w:rPr>
        <w:t>pr</w:t>
      </w:r>
      <w:r w:rsidR="00A64FC8">
        <w:rPr>
          <w:rStyle w:val="Emphasis"/>
          <w:i w:val="0"/>
          <w:iCs w:val="0"/>
          <w:color w:val="000000"/>
          <w:szCs w:val="22"/>
        </w:rPr>
        <w:t xml:space="preserve">oblem in terms of the </w:t>
      </w:r>
      <w:r w:rsidR="00F977F6">
        <w:rPr>
          <w:rStyle w:val="Emphasis"/>
          <w:i w:val="0"/>
          <w:iCs w:val="0"/>
          <w:color w:val="000000"/>
          <w:szCs w:val="22"/>
        </w:rPr>
        <w:t xml:space="preserve">separation of powers </w:t>
      </w:r>
      <w:r w:rsidR="0066630A">
        <w:rPr>
          <w:rStyle w:val="Emphasis"/>
          <w:i w:val="0"/>
          <w:iCs w:val="0"/>
          <w:color w:val="000000"/>
          <w:szCs w:val="22"/>
        </w:rPr>
        <w:t>among all three branches of government, rather than just one or two branches</w:t>
      </w:r>
      <w:r w:rsidR="003A3532">
        <w:rPr>
          <w:rStyle w:val="Emphasis"/>
          <w:i w:val="0"/>
          <w:iCs w:val="0"/>
          <w:color w:val="000000"/>
          <w:szCs w:val="22"/>
        </w:rPr>
        <w:t xml:space="preserve">. </w:t>
      </w:r>
      <w:r w:rsidR="0013697A">
        <w:rPr>
          <w:rStyle w:val="Emphasis"/>
          <w:i w:val="0"/>
          <w:iCs w:val="0"/>
          <w:color w:val="000000"/>
          <w:szCs w:val="22"/>
        </w:rPr>
        <w:t>Correcting a</w:t>
      </w:r>
      <w:r w:rsidR="00031FDC">
        <w:rPr>
          <w:rStyle w:val="Emphasis"/>
          <w:i w:val="0"/>
          <w:iCs w:val="0"/>
          <w:color w:val="000000"/>
          <w:szCs w:val="22"/>
        </w:rPr>
        <w:t xml:space="preserve"> separation</w:t>
      </w:r>
      <w:r w:rsidR="008A7684">
        <w:rPr>
          <w:rStyle w:val="Emphasis"/>
          <w:i w:val="0"/>
          <w:iCs w:val="0"/>
          <w:color w:val="000000"/>
          <w:szCs w:val="22"/>
        </w:rPr>
        <w:t>-</w:t>
      </w:r>
      <w:r w:rsidR="00F62CEC">
        <w:rPr>
          <w:rStyle w:val="Emphasis"/>
          <w:i w:val="0"/>
          <w:iCs w:val="0"/>
          <w:color w:val="000000"/>
          <w:szCs w:val="22"/>
        </w:rPr>
        <w:t>of</w:t>
      </w:r>
      <w:r w:rsidR="008A7684">
        <w:rPr>
          <w:rStyle w:val="Emphasis"/>
          <w:i w:val="0"/>
          <w:iCs w:val="0"/>
          <w:color w:val="000000"/>
          <w:szCs w:val="22"/>
        </w:rPr>
        <w:t>-</w:t>
      </w:r>
      <w:r w:rsidR="00F62CEC">
        <w:rPr>
          <w:rStyle w:val="Emphasis"/>
          <w:i w:val="0"/>
          <w:iCs w:val="0"/>
          <w:color w:val="000000"/>
          <w:szCs w:val="22"/>
        </w:rPr>
        <w:t>powers problem</w:t>
      </w:r>
      <w:r w:rsidR="0013697A">
        <w:rPr>
          <w:rStyle w:val="Emphasis"/>
          <w:i w:val="0"/>
          <w:iCs w:val="0"/>
          <w:color w:val="000000"/>
          <w:szCs w:val="22"/>
        </w:rPr>
        <w:t xml:space="preserve"> requires </w:t>
      </w:r>
      <w:r w:rsidR="00474627">
        <w:rPr>
          <w:rStyle w:val="Emphasis"/>
          <w:i w:val="0"/>
          <w:iCs w:val="0"/>
          <w:color w:val="000000"/>
          <w:szCs w:val="22"/>
        </w:rPr>
        <w:t xml:space="preserve">an </w:t>
      </w:r>
      <w:r w:rsidR="006D5AC5">
        <w:rPr>
          <w:rStyle w:val="Emphasis"/>
          <w:i w:val="0"/>
          <w:iCs w:val="0"/>
          <w:color w:val="000000"/>
          <w:szCs w:val="22"/>
        </w:rPr>
        <w:t>effort</w:t>
      </w:r>
      <w:r w:rsidR="00474627">
        <w:rPr>
          <w:rStyle w:val="Emphasis"/>
          <w:i w:val="0"/>
          <w:iCs w:val="0"/>
          <w:color w:val="000000"/>
          <w:szCs w:val="22"/>
        </w:rPr>
        <w:t xml:space="preserve"> </w:t>
      </w:r>
      <w:r w:rsidR="006D5AC5">
        <w:rPr>
          <w:rStyle w:val="Emphasis"/>
          <w:i w:val="0"/>
          <w:iCs w:val="0"/>
          <w:color w:val="000000"/>
          <w:szCs w:val="22"/>
        </w:rPr>
        <w:t xml:space="preserve">to </w:t>
      </w:r>
      <w:r w:rsidR="0013697A">
        <w:rPr>
          <w:rStyle w:val="Emphasis"/>
          <w:i w:val="0"/>
          <w:iCs w:val="0"/>
          <w:color w:val="000000"/>
          <w:szCs w:val="22"/>
        </w:rPr>
        <w:t>take</w:t>
      </w:r>
      <w:r w:rsidR="00474627">
        <w:rPr>
          <w:rStyle w:val="Emphasis"/>
          <w:i w:val="0"/>
          <w:iCs w:val="0"/>
          <w:color w:val="000000"/>
          <w:szCs w:val="22"/>
        </w:rPr>
        <w:t xml:space="preserve"> back power f</w:t>
      </w:r>
      <w:r w:rsidR="00081D83">
        <w:rPr>
          <w:rStyle w:val="Emphasis"/>
          <w:i w:val="0"/>
          <w:iCs w:val="0"/>
          <w:color w:val="000000"/>
          <w:szCs w:val="22"/>
        </w:rPr>
        <w:t>ro</w:t>
      </w:r>
      <w:r w:rsidR="00474627">
        <w:rPr>
          <w:rStyle w:val="Emphasis"/>
          <w:i w:val="0"/>
          <w:iCs w:val="0"/>
          <w:color w:val="000000"/>
          <w:szCs w:val="22"/>
        </w:rPr>
        <w:t>m</w:t>
      </w:r>
      <w:r w:rsidR="00081D83">
        <w:rPr>
          <w:rStyle w:val="Emphasis"/>
          <w:i w:val="0"/>
          <w:iCs w:val="0"/>
          <w:color w:val="000000"/>
          <w:szCs w:val="22"/>
        </w:rPr>
        <w:t xml:space="preserve"> one branch of government and</w:t>
      </w:r>
      <w:r w:rsidR="00F62CEC">
        <w:rPr>
          <w:rStyle w:val="Emphasis"/>
          <w:i w:val="0"/>
          <w:iCs w:val="0"/>
          <w:color w:val="000000"/>
          <w:szCs w:val="22"/>
        </w:rPr>
        <w:t xml:space="preserve"> redistribute </w:t>
      </w:r>
      <w:r w:rsidR="00FD0345">
        <w:rPr>
          <w:rStyle w:val="Emphasis"/>
          <w:i w:val="0"/>
          <w:iCs w:val="0"/>
          <w:color w:val="000000"/>
          <w:szCs w:val="22"/>
        </w:rPr>
        <w:t xml:space="preserve">it </w:t>
      </w:r>
      <w:r w:rsidR="0013697A">
        <w:rPr>
          <w:rStyle w:val="Emphasis"/>
          <w:i w:val="0"/>
          <w:iCs w:val="0"/>
          <w:color w:val="000000"/>
          <w:szCs w:val="22"/>
        </w:rPr>
        <w:t xml:space="preserve">among the other branches. </w:t>
      </w:r>
      <w:r w:rsidR="00140B3C">
        <w:rPr>
          <w:rStyle w:val="Emphasis"/>
          <w:i w:val="0"/>
          <w:iCs w:val="0"/>
          <w:color w:val="000000"/>
          <w:szCs w:val="22"/>
        </w:rPr>
        <w:t>But h</w:t>
      </w:r>
      <w:r w:rsidR="0013697A">
        <w:rPr>
          <w:rStyle w:val="Emphasis"/>
          <w:i w:val="0"/>
          <w:iCs w:val="0"/>
          <w:color w:val="000000"/>
          <w:szCs w:val="22"/>
        </w:rPr>
        <w:t xml:space="preserve">ow </w:t>
      </w:r>
      <w:r w:rsidR="003E0785">
        <w:rPr>
          <w:rStyle w:val="Emphasis"/>
          <w:i w:val="0"/>
          <w:iCs w:val="0"/>
          <w:color w:val="000000"/>
          <w:szCs w:val="22"/>
        </w:rPr>
        <w:t xml:space="preserve">can this type of structural change be </w:t>
      </w:r>
      <w:r w:rsidR="0066630A">
        <w:rPr>
          <w:rStyle w:val="Emphasis"/>
          <w:i w:val="0"/>
          <w:iCs w:val="0"/>
          <w:color w:val="000000"/>
          <w:szCs w:val="22"/>
        </w:rPr>
        <w:t>made</w:t>
      </w:r>
      <w:r w:rsidR="003E0785">
        <w:rPr>
          <w:rStyle w:val="Emphasis"/>
          <w:i w:val="0"/>
          <w:iCs w:val="0"/>
          <w:color w:val="000000"/>
          <w:szCs w:val="22"/>
        </w:rPr>
        <w:t>, and what obstacles are there?</w:t>
      </w:r>
      <w:r w:rsidR="0013697A">
        <w:rPr>
          <w:rStyle w:val="Emphasis"/>
          <w:i w:val="0"/>
          <w:iCs w:val="0"/>
          <w:color w:val="000000"/>
          <w:szCs w:val="22"/>
        </w:rPr>
        <w:t xml:space="preserve"> </w:t>
      </w:r>
      <w:r w:rsidR="000B3601">
        <w:rPr>
          <w:rStyle w:val="Emphasis"/>
          <w:i w:val="0"/>
          <w:iCs w:val="0"/>
          <w:color w:val="000000"/>
          <w:szCs w:val="22"/>
        </w:rPr>
        <w:t>In understanding th</w:t>
      </w:r>
      <w:r w:rsidR="00140B3C">
        <w:rPr>
          <w:rStyle w:val="Emphasis"/>
          <w:i w:val="0"/>
          <w:iCs w:val="0"/>
          <w:color w:val="000000"/>
          <w:szCs w:val="22"/>
        </w:rPr>
        <w:t>ese</w:t>
      </w:r>
      <w:r w:rsidR="000B3601">
        <w:rPr>
          <w:rStyle w:val="Emphasis"/>
          <w:i w:val="0"/>
          <w:iCs w:val="0"/>
          <w:color w:val="000000"/>
          <w:szCs w:val="22"/>
        </w:rPr>
        <w:t xml:space="preserve"> broader question</w:t>
      </w:r>
      <w:r w:rsidR="00140B3C">
        <w:rPr>
          <w:rStyle w:val="Emphasis"/>
          <w:i w:val="0"/>
          <w:iCs w:val="0"/>
          <w:color w:val="000000"/>
          <w:szCs w:val="22"/>
        </w:rPr>
        <w:t>s</w:t>
      </w:r>
      <w:r w:rsidR="000B3601">
        <w:rPr>
          <w:rStyle w:val="Emphasis"/>
          <w:i w:val="0"/>
          <w:iCs w:val="0"/>
          <w:color w:val="000000"/>
          <w:szCs w:val="22"/>
        </w:rPr>
        <w:t xml:space="preserve"> about the process for redistributing power between the three branches of government, </w:t>
      </w:r>
      <w:r w:rsidR="00835878">
        <w:rPr>
          <w:rStyle w:val="Emphasis"/>
          <w:i w:val="0"/>
          <w:iCs w:val="0"/>
          <w:color w:val="000000"/>
          <w:szCs w:val="22"/>
        </w:rPr>
        <w:t xml:space="preserve">this Note suggests </w:t>
      </w:r>
      <w:r w:rsidR="0042300C">
        <w:rPr>
          <w:rStyle w:val="Emphasis"/>
          <w:i w:val="0"/>
          <w:iCs w:val="0"/>
          <w:color w:val="000000"/>
          <w:szCs w:val="22"/>
        </w:rPr>
        <w:t>analyz</w:t>
      </w:r>
      <w:r w:rsidR="00835878">
        <w:rPr>
          <w:rStyle w:val="Emphasis"/>
          <w:i w:val="0"/>
          <w:iCs w:val="0"/>
          <w:color w:val="000000"/>
          <w:szCs w:val="22"/>
        </w:rPr>
        <w:t>ing</w:t>
      </w:r>
      <w:r w:rsidR="0042300C">
        <w:rPr>
          <w:rStyle w:val="Emphasis"/>
          <w:i w:val="0"/>
          <w:iCs w:val="0"/>
          <w:color w:val="000000"/>
          <w:szCs w:val="22"/>
        </w:rPr>
        <w:t xml:space="preserve"> </w:t>
      </w:r>
      <w:r w:rsidRPr="001C3964">
        <w:rPr>
          <w:rStyle w:val="Emphasis"/>
          <w:i w:val="0"/>
          <w:iCs w:val="0"/>
          <w:color w:val="000000"/>
          <w:szCs w:val="22"/>
        </w:rPr>
        <w:t>the creation of the current U.S.</w:t>
      </w:r>
      <w:r w:rsidR="00140B3C">
        <w:rPr>
          <w:rStyle w:val="Emphasis"/>
          <w:i w:val="0"/>
          <w:iCs w:val="0"/>
          <w:color w:val="000000"/>
          <w:szCs w:val="22"/>
        </w:rPr>
        <w:t xml:space="preserve"> </w:t>
      </w:r>
      <w:r w:rsidR="00A57FC8">
        <w:rPr>
          <w:rStyle w:val="Emphasis"/>
          <w:i w:val="0"/>
          <w:iCs w:val="0"/>
          <w:color w:val="000000"/>
          <w:szCs w:val="22"/>
        </w:rPr>
        <w:t>b</w:t>
      </w:r>
      <w:r w:rsidRPr="001C3964">
        <w:rPr>
          <w:rStyle w:val="Emphasis"/>
          <w:i w:val="0"/>
          <w:iCs w:val="0"/>
          <w:color w:val="000000"/>
          <w:szCs w:val="22"/>
        </w:rPr>
        <w:t xml:space="preserve">ankruptcy </w:t>
      </w:r>
      <w:r w:rsidR="00A57FC8">
        <w:rPr>
          <w:rStyle w:val="Emphasis"/>
          <w:i w:val="0"/>
          <w:iCs w:val="0"/>
          <w:color w:val="000000"/>
          <w:szCs w:val="22"/>
        </w:rPr>
        <w:t>c</w:t>
      </w:r>
      <w:r w:rsidRPr="001C3964">
        <w:rPr>
          <w:rStyle w:val="Emphasis"/>
          <w:i w:val="0"/>
          <w:iCs w:val="0"/>
          <w:color w:val="000000"/>
          <w:szCs w:val="22"/>
        </w:rPr>
        <w:t>ourt</w:t>
      </w:r>
      <w:r w:rsidR="00AD6596">
        <w:rPr>
          <w:rStyle w:val="Emphasis"/>
          <w:i w:val="0"/>
          <w:iCs w:val="0"/>
          <w:color w:val="000000"/>
          <w:szCs w:val="22"/>
        </w:rPr>
        <w:t xml:space="preserve"> </w:t>
      </w:r>
      <w:r w:rsidRPr="001C3964">
        <w:rPr>
          <w:rStyle w:val="Emphasis"/>
          <w:i w:val="0"/>
          <w:iCs w:val="0"/>
          <w:color w:val="000000"/>
          <w:szCs w:val="22"/>
        </w:rPr>
        <w:t>system under Article I of the Constitution</w:t>
      </w:r>
      <w:r w:rsidR="00606679">
        <w:rPr>
          <w:rStyle w:val="Emphasis"/>
          <w:i w:val="0"/>
          <w:iCs w:val="0"/>
          <w:color w:val="000000"/>
          <w:szCs w:val="22"/>
        </w:rPr>
        <w:t xml:space="preserve"> as</w:t>
      </w:r>
      <w:r w:rsidR="0042300C">
        <w:rPr>
          <w:rStyle w:val="Emphasis"/>
          <w:i w:val="0"/>
          <w:iCs w:val="0"/>
          <w:color w:val="000000"/>
          <w:szCs w:val="22"/>
        </w:rPr>
        <w:t xml:space="preserve"> </w:t>
      </w:r>
      <w:r w:rsidR="008B275A">
        <w:rPr>
          <w:rStyle w:val="Emphasis"/>
          <w:i w:val="0"/>
          <w:iCs w:val="0"/>
          <w:color w:val="000000"/>
          <w:szCs w:val="22"/>
        </w:rPr>
        <w:t xml:space="preserve">an </w:t>
      </w:r>
      <w:r w:rsidR="0042300C">
        <w:rPr>
          <w:rStyle w:val="Emphasis"/>
          <w:i w:val="0"/>
          <w:iCs w:val="0"/>
          <w:color w:val="000000"/>
          <w:szCs w:val="22"/>
        </w:rPr>
        <w:t xml:space="preserve">example </w:t>
      </w:r>
      <w:r w:rsidR="008B275A">
        <w:rPr>
          <w:rStyle w:val="Emphasis"/>
          <w:i w:val="0"/>
          <w:iCs w:val="0"/>
          <w:color w:val="000000"/>
          <w:szCs w:val="22"/>
        </w:rPr>
        <w:t xml:space="preserve">of </w:t>
      </w:r>
      <w:r w:rsidR="009B4A50">
        <w:rPr>
          <w:rStyle w:val="Emphasis"/>
          <w:i w:val="0"/>
          <w:iCs w:val="0"/>
          <w:color w:val="000000"/>
          <w:szCs w:val="22"/>
        </w:rPr>
        <w:t xml:space="preserve">a </w:t>
      </w:r>
      <w:r w:rsidR="00EB4898">
        <w:rPr>
          <w:rStyle w:val="Emphasis"/>
          <w:i w:val="0"/>
          <w:iCs w:val="0"/>
          <w:color w:val="000000"/>
          <w:szCs w:val="22"/>
        </w:rPr>
        <w:t>real-world</w:t>
      </w:r>
      <w:r w:rsidR="009B4A50">
        <w:rPr>
          <w:rStyle w:val="Emphasis"/>
          <w:i w:val="0"/>
          <w:iCs w:val="0"/>
          <w:color w:val="000000"/>
          <w:szCs w:val="22"/>
        </w:rPr>
        <w:t xml:space="preserve"> </w:t>
      </w:r>
      <w:r w:rsidR="007172E0">
        <w:rPr>
          <w:rStyle w:val="Emphasis"/>
          <w:i w:val="0"/>
          <w:iCs w:val="0"/>
          <w:color w:val="000000"/>
          <w:szCs w:val="22"/>
        </w:rPr>
        <w:t xml:space="preserve">process </w:t>
      </w:r>
      <w:r w:rsidR="00537D5D">
        <w:rPr>
          <w:rStyle w:val="Emphasis"/>
          <w:i w:val="0"/>
          <w:iCs w:val="0"/>
          <w:color w:val="000000"/>
          <w:szCs w:val="22"/>
        </w:rPr>
        <w:t>for</w:t>
      </w:r>
      <w:r w:rsidR="007172E0">
        <w:rPr>
          <w:rStyle w:val="Emphasis"/>
          <w:i w:val="0"/>
          <w:iCs w:val="0"/>
          <w:color w:val="000000"/>
          <w:szCs w:val="22"/>
        </w:rPr>
        <w:t xml:space="preserve"> </w:t>
      </w:r>
      <w:r w:rsidRPr="001C3964">
        <w:rPr>
          <w:rStyle w:val="Emphasis"/>
          <w:i w:val="0"/>
          <w:iCs w:val="0"/>
          <w:color w:val="000000"/>
          <w:szCs w:val="22"/>
        </w:rPr>
        <w:t>rebalanc</w:t>
      </w:r>
      <w:r w:rsidR="007172E0">
        <w:rPr>
          <w:rStyle w:val="Emphasis"/>
          <w:i w:val="0"/>
          <w:iCs w:val="0"/>
          <w:color w:val="000000"/>
          <w:szCs w:val="22"/>
        </w:rPr>
        <w:t>ing</w:t>
      </w:r>
      <w:r w:rsidRPr="001C3964">
        <w:rPr>
          <w:rStyle w:val="Emphasis"/>
          <w:i w:val="0"/>
          <w:iCs w:val="0"/>
          <w:color w:val="000000"/>
          <w:szCs w:val="22"/>
        </w:rPr>
        <w:t xml:space="preserve"> power</w:t>
      </w:r>
      <w:r w:rsidR="00B02234">
        <w:rPr>
          <w:rStyle w:val="Emphasis"/>
          <w:i w:val="0"/>
          <w:iCs w:val="0"/>
          <w:color w:val="000000"/>
          <w:szCs w:val="22"/>
        </w:rPr>
        <w:t>.</w:t>
      </w:r>
      <w:r w:rsidRPr="001C3964">
        <w:rPr>
          <w:rStyle w:val="Emphasis"/>
          <w:i w:val="0"/>
          <w:iCs w:val="0"/>
          <w:color w:val="000000"/>
          <w:szCs w:val="22"/>
        </w:rPr>
        <w:t xml:space="preserve"> </w:t>
      </w:r>
    </w:p>
    <w:p w14:paraId="4B1C9806" w14:textId="565D5EDA" w:rsidR="006D3942" w:rsidRDefault="001C3964" w:rsidP="00695136">
      <w:pPr>
        <w:pStyle w:val="Head1"/>
      </w:pPr>
      <w:bookmarkStart w:id="48" w:name="_Toc173015248"/>
      <w:bookmarkStart w:id="49" w:name="_Toc191465196"/>
      <w:r>
        <w:t>III</w:t>
      </w:r>
      <w:r w:rsidR="00FC6267">
        <w:t>.</w:t>
      </w:r>
      <w:r w:rsidR="00244D6E">
        <w:tab/>
      </w:r>
      <w:r w:rsidR="006D3942" w:rsidRPr="006D3942">
        <w:t>Transforming Bankruptcy Courts into Article I Courts: A Case Study in the Struggle for Control</w:t>
      </w:r>
      <w:bookmarkEnd w:id="48"/>
      <w:bookmarkEnd w:id="49"/>
    </w:p>
    <w:p w14:paraId="4B218EB9" w14:textId="32C02323" w:rsidR="00880EF0" w:rsidRDefault="006D3942" w:rsidP="00695136">
      <w:pPr>
        <w:pStyle w:val="Document"/>
      </w:pPr>
      <w:r w:rsidRPr="006D3942">
        <w:t xml:space="preserve">Although the </w:t>
      </w:r>
      <w:r w:rsidR="002D730A">
        <w:t>i</w:t>
      </w:r>
      <w:r w:rsidRPr="006D3942">
        <w:t xml:space="preserve">mmigration </w:t>
      </w:r>
      <w:r w:rsidR="002D730A">
        <w:t>c</w:t>
      </w:r>
      <w:r w:rsidRPr="006D3942">
        <w:t>ourts are unique in their structure</w:t>
      </w:r>
      <w:r w:rsidR="0099714A">
        <w:t xml:space="preserve"> and diverge substantially from bankruptcy courts, the story of the creation of specialized legislative bankruptcy courts can provide a model for</w:t>
      </w:r>
      <w:r w:rsidR="005B5B73">
        <w:t xml:space="preserve"> navigating the process of stripping power away from one branch of government and reallocating that power to the other branches</w:t>
      </w:r>
      <w:r w:rsidR="00140B3C">
        <w:t xml:space="preserve">, as both </w:t>
      </w:r>
      <w:r w:rsidR="000E63E5">
        <w:t xml:space="preserve">the successes and failures </w:t>
      </w:r>
      <w:r w:rsidR="00830EEB">
        <w:t>of efforts in bankruptcy reform</w:t>
      </w:r>
      <w:r w:rsidR="00140B3C">
        <w:t xml:space="preserve"> are enlightening</w:t>
      </w:r>
      <w:r w:rsidR="00830EEB">
        <w:t xml:space="preserve">. </w:t>
      </w:r>
      <w:r w:rsidR="005B5B73">
        <w:t xml:space="preserve">Bankruptcy presents the story of </w:t>
      </w:r>
      <w:r w:rsidR="00841803">
        <w:t>how t</w:t>
      </w:r>
      <w:r w:rsidR="00830EEB">
        <w:t>h</w:t>
      </w:r>
      <w:r w:rsidR="00841803">
        <w:t>e political branches</w:t>
      </w:r>
      <w:r w:rsidR="00AB33BE">
        <w:t xml:space="preserve"> made efforts to</w:t>
      </w:r>
      <w:r w:rsidR="005A1EE1">
        <w:t xml:space="preserve"> reallocate</w:t>
      </w:r>
      <w:r w:rsidR="00AB33BE">
        <w:t xml:space="preserve"> </w:t>
      </w:r>
      <w:r w:rsidR="005A1EE1">
        <w:t xml:space="preserve">some of the </w:t>
      </w:r>
      <w:r w:rsidR="00AB33BE">
        <w:t>control over bankruptcy</w:t>
      </w:r>
      <w:r w:rsidR="005A1EE1">
        <w:t xml:space="preserve"> among themselves</w:t>
      </w:r>
      <w:r w:rsidR="000E63E5">
        <w:t xml:space="preserve"> while still failing to achieve the complete </w:t>
      </w:r>
      <w:r w:rsidR="00AB33BE">
        <w:t xml:space="preserve">systemic </w:t>
      </w:r>
      <w:r w:rsidR="000E63E5">
        <w:t>reform that had been initially desired</w:t>
      </w:r>
      <w:r w:rsidR="005A1EE1">
        <w:t xml:space="preserve">. Although not a perfect </w:t>
      </w:r>
      <w:r w:rsidR="00140B3C">
        <w:t xml:space="preserve">analogue </w:t>
      </w:r>
      <w:r w:rsidR="005A1EE1">
        <w:t xml:space="preserve">for </w:t>
      </w:r>
      <w:r w:rsidR="00270EAB">
        <w:t xml:space="preserve">understanding the process of stripping </w:t>
      </w:r>
      <w:r w:rsidR="00270EAB">
        <w:lastRenderedPageBreak/>
        <w:t>control by the</w:t>
      </w:r>
      <w:r w:rsidR="00A445AF">
        <w:t xml:space="preserve"> Executive</w:t>
      </w:r>
      <w:r w:rsidR="00270EAB">
        <w:t xml:space="preserve"> </w:t>
      </w:r>
      <w:r w:rsidR="00A445AF">
        <w:t>B</w:t>
      </w:r>
      <w:r w:rsidR="00270EAB">
        <w:t>ranch over immigration courts</w:t>
      </w:r>
      <w:r w:rsidR="00147308">
        <w:t>, there are lessons from this story</w:t>
      </w:r>
      <w:r w:rsidR="00733C59">
        <w:t xml:space="preserve"> about the process of stripping power </w:t>
      </w:r>
      <w:r w:rsidR="002F56FE">
        <w:t xml:space="preserve">from </w:t>
      </w:r>
      <w:r w:rsidR="00733C59">
        <w:t>the Judicial Branch</w:t>
      </w:r>
      <w:r w:rsidR="00147308">
        <w:t xml:space="preserve"> that provide insight into the </w:t>
      </w:r>
      <w:r w:rsidR="00A445AF">
        <w:t xml:space="preserve">overall </w:t>
      </w:r>
      <w:r w:rsidR="00147308">
        <w:t>process of restructuring power</w:t>
      </w:r>
      <w:r w:rsidR="00A445AF">
        <w:t xml:space="preserve"> between the branches</w:t>
      </w:r>
      <w:r w:rsidR="00BD78FA">
        <w:t>.</w:t>
      </w:r>
    </w:p>
    <w:p w14:paraId="6A4D8420" w14:textId="77777777" w:rsidR="00880EF0" w:rsidRPr="006D3942" w:rsidRDefault="00880EF0" w:rsidP="00695136">
      <w:pPr>
        <w:pStyle w:val="Head2"/>
      </w:pPr>
      <w:bookmarkStart w:id="50" w:name="_Toc191465197"/>
      <w:r w:rsidRPr="006D3942">
        <w:t>A.</w:t>
      </w:r>
      <w:r w:rsidRPr="006D3942">
        <w:tab/>
        <w:t>Bankruptcy Prior to 1978</w:t>
      </w:r>
      <w:bookmarkEnd w:id="50"/>
    </w:p>
    <w:p w14:paraId="520D1804" w14:textId="163FE0FE" w:rsidR="00D31485" w:rsidRDefault="00E76772" w:rsidP="00695136">
      <w:pPr>
        <w:pStyle w:val="Document"/>
      </w:pPr>
      <w:r>
        <w:t>This Note provides a brief overview of v</w:t>
      </w:r>
      <w:r w:rsidR="00D10CF3">
        <w:t xml:space="preserve">arious issues </w:t>
      </w:r>
      <w:r>
        <w:t xml:space="preserve">in </w:t>
      </w:r>
      <w:r w:rsidR="006D3942" w:rsidRPr="006D3942">
        <w:t xml:space="preserve">bankruptcy adjudication prior </w:t>
      </w:r>
      <w:r w:rsidR="00EE7433">
        <w:t xml:space="preserve">to the creation of an independent bankruptcy </w:t>
      </w:r>
      <w:r w:rsidR="0047747E">
        <w:t xml:space="preserve">court </w:t>
      </w:r>
      <w:r w:rsidR="00EE7433">
        <w:t>system</w:t>
      </w:r>
      <w:r w:rsidR="00D10CF3">
        <w:t xml:space="preserve"> through t</w:t>
      </w:r>
      <w:r w:rsidR="006D3942" w:rsidRPr="006D3942">
        <w:t xml:space="preserve">he </w:t>
      </w:r>
      <w:r w:rsidR="0047747E" w:rsidRPr="006D3942">
        <w:t>Bankruptcy Reform Act of 1978 (The 1978 Act)</w:t>
      </w:r>
      <w:r w:rsidR="00140B3C">
        <w:t>,</w:t>
      </w:r>
      <w:r w:rsidR="0047747E">
        <w:t xml:space="preserve"> </w:t>
      </w:r>
      <w:r w:rsidR="00D10CF3">
        <w:t xml:space="preserve">which </w:t>
      </w:r>
      <w:r w:rsidR="00F44BE3">
        <w:t>paved the way for</w:t>
      </w:r>
      <w:r w:rsidR="006D3942" w:rsidRPr="006D3942">
        <w:t xml:space="preserve"> </w:t>
      </w:r>
      <w:r w:rsidR="00387587">
        <w:t xml:space="preserve">the first iteration of </w:t>
      </w:r>
      <w:r w:rsidR="006D3942" w:rsidRPr="006D3942">
        <w:t xml:space="preserve">the modern, independent bankruptcy court that </w:t>
      </w:r>
      <w:r w:rsidR="00CA67A6">
        <w:t>exists today</w:t>
      </w:r>
      <w:r w:rsidR="006D3942" w:rsidRPr="006D3942">
        <w:t>.</w:t>
      </w:r>
      <w:r w:rsidR="006D3942" w:rsidRPr="006D3942">
        <w:rPr>
          <w:rStyle w:val="NoteRefInText"/>
        </w:rPr>
        <w:footnoteReference w:id="142"/>
      </w:r>
      <w:r w:rsidR="006D3942" w:rsidRPr="006D3942">
        <w:t xml:space="preserve"> </w:t>
      </w:r>
      <w:r w:rsidR="00B52D08">
        <w:t xml:space="preserve">This discussion </w:t>
      </w:r>
      <w:r>
        <w:t>provide</w:t>
      </w:r>
      <w:r w:rsidR="00B52D08">
        <w:t>s</w:t>
      </w:r>
      <w:r>
        <w:t xml:space="preserve"> a</w:t>
      </w:r>
      <w:r w:rsidR="00B52D08">
        <w:t xml:space="preserve">n </w:t>
      </w:r>
      <w:r>
        <w:t xml:space="preserve">understanding of how the bankruptcy system was </w:t>
      </w:r>
      <w:r w:rsidR="007C605A">
        <w:t xml:space="preserve">uniquely </w:t>
      </w:r>
      <w:r>
        <w:t xml:space="preserve">insulated </w:t>
      </w:r>
      <w:r w:rsidR="00D31485">
        <w:t xml:space="preserve">within the judiciary </w:t>
      </w:r>
      <w:r>
        <w:t xml:space="preserve">from </w:t>
      </w:r>
      <w:r w:rsidR="007C605A">
        <w:t>influence</w:t>
      </w:r>
      <w:r>
        <w:t xml:space="preserve"> by </w:t>
      </w:r>
      <w:r w:rsidR="001D617A">
        <w:t xml:space="preserve">the </w:t>
      </w:r>
      <w:r>
        <w:t>political branches</w:t>
      </w:r>
      <w:r w:rsidR="00D31485">
        <w:t xml:space="preserve">, </w:t>
      </w:r>
      <w:r w:rsidR="007C605A">
        <w:t>even th</w:t>
      </w:r>
      <w:r w:rsidR="00EB4898">
        <w:t>r</w:t>
      </w:r>
      <w:r w:rsidR="007C605A">
        <w:t xml:space="preserve">ough appointments, </w:t>
      </w:r>
      <w:r w:rsidR="00D31485">
        <w:t>and provides the context for legislative efforts to reform bankruptcy</w:t>
      </w:r>
      <w:r w:rsidR="007C605A">
        <w:t xml:space="preserve"> and increase </w:t>
      </w:r>
      <w:r w:rsidR="00EB4898">
        <w:t>oversight</w:t>
      </w:r>
      <w:r w:rsidR="007C605A">
        <w:t>.</w:t>
      </w:r>
      <w:r w:rsidR="00D31485">
        <w:t xml:space="preserve"> </w:t>
      </w:r>
      <w:r w:rsidR="00C166C4">
        <w:t xml:space="preserve">Much like the process to create a new immigration court system, the process to create a new bankruptcy system was one that </w:t>
      </w:r>
      <w:r w:rsidR="007C605A">
        <w:t>implicated questions about how to</w:t>
      </w:r>
      <w:r w:rsidR="00C166C4">
        <w:t xml:space="preserve"> </w:t>
      </w:r>
      <w:r w:rsidR="007C605A">
        <w:t xml:space="preserve">strip </w:t>
      </w:r>
      <w:r w:rsidR="00C166C4">
        <w:t>power from one branch and re</w:t>
      </w:r>
      <w:r w:rsidR="007908F2">
        <w:t>al</w:t>
      </w:r>
      <w:r w:rsidR="00C166C4">
        <w:t>locat</w:t>
      </w:r>
      <w:r w:rsidR="007C605A">
        <w:t>e</w:t>
      </w:r>
      <w:r w:rsidR="00C166C4">
        <w:t xml:space="preserve"> it to another.</w:t>
      </w:r>
    </w:p>
    <w:p w14:paraId="0B1F2DC7" w14:textId="1010BD0D" w:rsidR="006D3942" w:rsidRPr="006D3942" w:rsidRDefault="00C166C4" w:rsidP="00695136">
      <w:pPr>
        <w:pStyle w:val="Document"/>
      </w:pPr>
      <w:r w:rsidRPr="006D3942">
        <w:t xml:space="preserve">The 1978 Act </w:t>
      </w:r>
      <w:r w:rsidR="006D3942" w:rsidRPr="006D3942">
        <w:t>was the product of a years-long process to reevaluate U.S. bankruptcy law in light of persistent criticisms.</w:t>
      </w:r>
      <w:r w:rsidR="006D3942" w:rsidRPr="006D3942">
        <w:rPr>
          <w:rStyle w:val="NoteRefInText"/>
        </w:rPr>
        <w:footnoteReference w:id="143"/>
      </w:r>
      <w:r w:rsidR="006D3942" w:rsidRPr="006D3942">
        <w:t xml:space="preserve"> After an extensive investigation, a congressional </w:t>
      </w:r>
      <w:r w:rsidR="00A51EBF">
        <w:t>c</w:t>
      </w:r>
      <w:r w:rsidR="006D3942" w:rsidRPr="006D3942">
        <w:t>ommission was formed to evaluate the efficacy of the bankruptcy system.</w:t>
      </w:r>
      <w:r w:rsidR="006D3942" w:rsidRPr="006D3942">
        <w:rPr>
          <w:rStyle w:val="NoteRefInText"/>
        </w:rPr>
        <w:footnoteReference w:id="144"/>
      </w:r>
      <w:r w:rsidR="006D3942" w:rsidRPr="006D3942">
        <w:t xml:space="preserve"> </w:t>
      </w:r>
      <w:r w:rsidR="00A51EBF">
        <w:t>The commission</w:t>
      </w:r>
      <w:r w:rsidR="00A51EBF" w:rsidRPr="006D3942">
        <w:t xml:space="preserve"> </w:t>
      </w:r>
      <w:r w:rsidR="006D3942" w:rsidRPr="006D3942">
        <w:t>recommended the creation of an independent bankruptcy court with the goal to “[s]ever . . . the judicial functions of the bankruptcy judge so as to preserve actual as well as apparent impartiality among the participants in a bankruptcy proceeding.”</w:t>
      </w:r>
      <w:r w:rsidR="006D3942" w:rsidRPr="006D3942">
        <w:rPr>
          <w:rStyle w:val="NoteRefInText"/>
        </w:rPr>
        <w:footnoteReference w:id="145"/>
      </w:r>
      <w:r w:rsidR="00100774">
        <w:t xml:space="preserve"> </w:t>
      </w:r>
    </w:p>
    <w:p w14:paraId="6C854F9F" w14:textId="76827E21" w:rsidR="000502F6" w:rsidRDefault="00140B3C" w:rsidP="00695136">
      <w:pPr>
        <w:pStyle w:val="Document"/>
      </w:pPr>
      <w:r>
        <w:t>Prior to the 1978 Act, b</w:t>
      </w:r>
      <w:r w:rsidR="006D3942" w:rsidRPr="006D3942">
        <w:t xml:space="preserve">ankruptcy </w:t>
      </w:r>
      <w:r w:rsidR="00292890">
        <w:t xml:space="preserve">courts </w:t>
      </w:r>
      <w:r w:rsidR="006D3942" w:rsidRPr="006D3942">
        <w:t xml:space="preserve">suffered from </w:t>
      </w:r>
      <w:r w:rsidR="00BD10BC">
        <w:t xml:space="preserve">various </w:t>
      </w:r>
      <w:r w:rsidR="006D3942" w:rsidRPr="006D3942">
        <w:t>concerns</w:t>
      </w:r>
      <w:r w:rsidR="00BD10BC">
        <w:t xml:space="preserve">, including </w:t>
      </w:r>
      <w:r>
        <w:t xml:space="preserve">ones </w:t>
      </w:r>
      <w:r w:rsidR="006D3942" w:rsidRPr="006D3942">
        <w:t>about the impartiality and decisional independence of the bankruptcy judges</w:t>
      </w:r>
      <w:r>
        <w:t>—</w:t>
      </w:r>
      <w:r w:rsidR="006D3942" w:rsidRPr="006D3942">
        <w:t>or “referees</w:t>
      </w:r>
      <w:r>
        <w:t>,</w:t>
      </w:r>
      <w:r w:rsidR="006D3942" w:rsidRPr="006D3942">
        <w:t xml:space="preserve">” as they were often </w:t>
      </w:r>
      <w:r w:rsidR="0091167D">
        <w:t>called</w:t>
      </w:r>
      <w:bookmarkStart w:id="51" w:name="_Ref187075007"/>
      <w:r>
        <w:t>.</w:t>
      </w:r>
      <w:r w:rsidR="006D3942" w:rsidRPr="006D3942">
        <w:rPr>
          <w:rStyle w:val="NoteRefInText"/>
        </w:rPr>
        <w:footnoteReference w:id="146"/>
      </w:r>
      <w:bookmarkEnd w:id="51"/>
      <w:r w:rsidR="00C20337">
        <w:t xml:space="preserve"> </w:t>
      </w:r>
      <w:r w:rsidR="006D3942" w:rsidRPr="006D3942">
        <w:t xml:space="preserve">Crucially, </w:t>
      </w:r>
      <w:r w:rsidR="00BD10BC">
        <w:t xml:space="preserve">issues of </w:t>
      </w:r>
      <w:r w:rsidR="006D3942" w:rsidRPr="006D3942">
        <w:t xml:space="preserve">decisional independence </w:t>
      </w:r>
      <w:r w:rsidR="00BD10BC">
        <w:t xml:space="preserve">were </w:t>
      </w:r>
      <w:r w:rsidR="00292890">
        <w:t>not a result of</w:t>
      </w:r>
      <w:r w:rsidR="006D3942" w:rsidRPr="006D3942">
        <w:t xml:space="preserve"> a monopoly on control by the </w:t>
      </w:r>
      <w:r w:rsidR="002D730A">
        <w:t>E</w:t>
      </w:r>
      <w:r w:rsidR="006D3942" w:rsidRPr="006D3942">
        <w:t xml:space="preserve">xecutive </w:t>
      </w:r>
      <w:r w:rsidR="002D730A">
        <w:t>B</w:t>
      </w:r>
      <w:r w:rsidR="006D3942" w:rsidRPr="006D3942">
        <w:t>ranch, but rather a monopoly on control of the adjudicators by individual actors in the judiciary</w:t>
      </w:r>
      <w:r w:rsidR="001C43D9">
        <w:t xml:space="preserve"> including the district court</w:t>
      </w:r>
      <w:r w:rsidR="000502F6">
        <w:t xml:space="preserve"> judges</w:t>
      </w:r>
      <w:r w:rsidR="006D3942" w:rsidRPr="006D3942">
        <w:t>.</w:t>
      </w:r>
      <w:r w:rsidR="006D3942" w:rsidRPr="006D3942">
        <w:rPr>
          <w:rStyle w:val="NoteRefInText"/>
        </w:rPr>
        <w:footnoteReference w:id="147"/>
      </w:r>
      <w:r w:rsidR="006D3942" w:rsidRPr="006D3942">
        <w:t xml:space="preserve"> </w:t>
      </w:r>
    </w:p>
    <w:p w14:paraId="462BE8E2" w14:textId="39D0791F" w:rsidR="006D3942" w:rsidRPr="006D3942" w:rsidRDefault="006D3942" w:rsidP="00695136">
      <w:pPr>
        <w:pStyle w:val="Document"/>
      </w:pPr>
      <w:r w:rsidRPr="006D3942">
        <w:t xml:space="preserve">Bankruptcy referees were appointed </w:t>
      </w:r>
      <w:r w:rsidR="00292890" w:rsidRPr="00292890">
        <w:t xml:space="preserve">for </w:t>
      </w:r>
      <w:r w:rsidR="00140B3C">
        <w:t xml:space="preserve">six-year terms </w:t>
      </w:r>
      <w:r w:rsidRPr="006D3942">
        <w:t>by district court judges who oversaw their actions and decisions.</w:t>
      </w:r>
      <w:r w:rsidRPr="006D3942">
        <w:rPr>
          <w:rStyle w:val="NoteRefInText"/>
        </w:rPr>
        <w:footnoteReference w:id="148"/>
      </w:r>
      <w:r w:rsidRPr="006D3942">
        <w:t xml:space="preserve"> Referees were initially </w:t>
      </w:r>
      <w:r w:rsidRPr="006D3942">
        <w:lastRenderedPageBreak/>
        <w:t>considered a type of adjunct or clerk for district court judges, acting on their behalf to effectuate the law and generally carry out their policy views.</w:t>
      </w:r>
      <w:bookmarkStart w:id="52" w:name="_Ref177480202"/>
      <w:r w:rsidRPr="006D3942">
        <w:rPr>
          <w:rStyle w:val="NoteRefInText"/>
        </w:rPr>
        <w:footnoteReference w:id="149"/>
      </w:r>
      <w:bookmarkEnd w:id="52"/>
      <w:r w:rsidRPr="006D3942">
        <w:t xml:space="preserve"> Their jobs often involved substantial administrative work</w:t>
      </w:r>
      <w:r w:rsidR="00292890">
        <w:t>,</w:t>
      </w:r>
      <w:r w:rsidRPr="006D3942">
        <w:t xml:space="preserve"> including managing business affairs and even signing disbursement checks.</w:t>
      </w:r>
      <w:r w:rsidRPr="006D3942">
        <w:rPr>
          <w:rStyle w:val="NoteRefInText"/>
        </w:rPr>
        <w:footnoteReference w:id="150"/>
      </w:r>
      <w:r w:rsidRPr="006D3942">
        <w:t xml:space="preserve"> Although bankruptcy referees possessed little power and status </w:t>
      </w:r>
      <w:r w:rsidR="00292890">
        <w:t xml:space="preserve">in </w:t>
      </w:r>
      <w:r w:rsidRPr="006D3942">
        <w:t>the years after the creation of the office through the Bankruptcy Act of 1898, referees began to gain increasing judicial power</w:t>
      </w:r>
      <w:r w:rsidR="00140B3C">
        <w:t xml:space="preserve"> throughout the twentieth century</w:t>
      </w:r>
      <w:r w:rsidRPr="006D3942">
        <w:t>.</w:t>
      </w:r>
      <w:r w:rsidRPr="006D3942">
        <w:rPr>
          <w:rStyle w:val="NoteRefInText"/>
        </w:rPr>
        <w:footnoteReference w:id="151"/>
      </w:r>
      <w:r w:rsidRPr="006D3942">
        <w:t xml:space="preserve"> By the</w:t>
      </w:r>
      <w:r w:rsidR="00C20337">
        <w:t xml:space="preserve"> 1960s</w:t>
      </w:r>
      <w:r w:rsidRPr="006D3942">
        <w:t>, district courts began allowing referees to wear judicial robes and sit in judicial chambers.</w:t>
      </w:r>
      <w:r w:rsidRPr="006D3942">
        <w:rPr>
          <w:rStyle w:val="NoteRefInText"/>
        </w:rPr>
        <w:footnoteReference w:id="152"/>
      </w:r>
      <w:r w:rsidRPr="006D3942">
        <w:t xml:space="preserve"> Meanwhile, more referees transitioned from part-time to full-time bankruptcy work</w:t>
      </w:r>
      <w:r w:rsidR="00292890">
        <w:t>,</w:t>
      </w:r>
      <w:r w:rsidRPr="006D3942">
        <w:t xml:space="preserve"> turning the </w:t>
      </w:r>
      <w:r w:rsidR="001D617A">
        <w:t xml:space="preserve">job </w:t>
      </w:r>
      <w:r w:rsidRPr="006D3942">
        <w:t>into a career rather than a part-time position.</w:t>
      </w:r>
      <w:r w:rsidRPr="006D3942">
        <w:rPr>
          <w:rStyle w:val="NoteRefInText"/>
        </w:rPr>
        <w:footnoteReference w:id="153"/>
      </w:r>
      <w:r w:rsidRPr="006D3942">
        <w:t xml:space="preserve"> These referees chafed against the system where they were beholden to district courts for continual reappointment, arguing that they were unable to make independent decisions and uphold judicial integrity </w:t>
      </w:r>
      <w:r w:rsidR="00292890">
        <w:t>in</w:t>
      </w:r>
      <w:r w:rsidRPr="006D3942">
        <w:t xml:space="preserve"> a model where their job security was tied to their favor with a small number of particular judicial officers who both appointed them and reviewed their decisions.</w:t>
      </w:r>
      <w:bookmarkStart w:id="53" w:name="_Ref177480189"/>
      <w:r w:rsidRPr="006D3942">
        <w:rPr>
          <w:rStyle w:val="NoteRefInText"/>
        </w:rPr>
        <w:footnoteReference w:id="154"/>
      </w:r>
      <w:bookmarkEnd w:id="53"/>
      <w:r w:rsidRPr="006D3942">
        <w:t xml:space="preserve"> During the 1960s, the newer and more ambitious referees began pushing for an expansion of the bankruptcy budget, an increase in decisionmaking power within the judiciary, and an increase in salary and prestige.</w:t>
      </w:r>
      <w:bookmarkStart w:id="54" w:name="_Ref181469131"/>
      <w:r w:rsidRPr="006D3942">
        <w:rPr>
          <w:rStyle w:val="NoteRefInText"/>
        </w:rPr>
        <w:footnoteReference w:id="155"/>
      </w:r>
      <w:bookmarkEnd w:id="54"/>
      <w:r w:rsidRPr="006D3942">
        <w:t xml:space="preserve"> These referees wanted increased prestige within the judiciary and took ambitious steps to draft their own proposed bill to reform the system.</w:t>
      </w:r>
      <w:r w:rsidRPr="006D3942">
        <w:rPr>
          <w:rStyle w:val="NoteRefInText"/>
        </w:rPr>
        <w:footnoteReference w:id="156"/>
      </w:r>
    </w:p>
    <w:p w14:paraId="47C4E4DE" w14:textId="53D70C8A" w:rsidR="007071F4" w:rsidRDefault="00092F8A" w:rsidP="00695136">
      <w:pPr>
        <w:pStyle w:val="Document"/>
      </w:pPr>
      <w:r>
        <w:t xml:space="preserve">Additionally, bankruptcy referees </w:t>
      </w:r>
      <w:r w:rsidR="00050E9D">
        <w:t xml:space="preserve">were </w:t>
      </w:r>
      <w:r w:rsidR="002B6198">
        <w:t xml:space="preserve">also </w:t>
      </w:r>
      <w:r w:rsidR="006D3942" w:rsidRPr="006D3942">
        <w:t>often in the position to appoint “trustees,” a role in which a lawyer is appointed to administer the debtor’s estate within the bankruptcy proceedings.</w:t>
      </w:r>
      <w:r w:rsidR="006D3942" w:rsidRPr="006D3942">
        <w:rPr>
          <w:rStyle w:val="NoteRefInText"/>
        </w:rPr>
        <w:footnoteReference w:id="157"/>
      </w:r>
      <w:r w:rsidR="006D3942" w:rsidRPr="006D3942">
        <w:t xml:space="preserve"> </w:t>
      </w:r>
      <w:r w:rsidR="00843794">
        <w:t>R</w:t>
      </w:r>
      <w:r w:rsidR="00292890">
        <w:t>eferees</w:t>
      </w:r>
      <w:r w:rsidR="006D3942" w:rsidRPr="006D3942">
        <w:t xml:space="preserve"> </w:t>
      </w:r>
      <w:r w:rsidR="00292890">
        <w:t>engaged</w:t>
      </w:r>
      <w:r w:rsidR="006D3942" w:rsidRPr="006D3942">
        <w:t xml:space="preserve"> closely with trustees in routine administrative contexts and sometimes provid</w:t>
      </w:r>
      <w:r w:rsidR="00292890">
        <w:t>ed</w:t>
      </w:r>
      <w:r w:rsidR="006D3942" w:rsidRPr="006D3942">
        <w:t xml:space="preserve"> advice to trustees on what course of action to pursue in matters before the refere</w:t>
      </w:r>
      <w:r w:rsidR="00D7499C">
        <w:t>e</w:t>
      </w:r>
      <w:r w:rsidR="00210803">
        <w:t xml:space="preserve">, exposing themselves </w:t>
      </w:r>
      <w:r w:rsidR="00BD0141" w:rsidRPr="006D3942">
        <w:t xml:space="preserve">to accusations of favoritism and bias toward the trustees whom they </w:t>
      </w:r>
      <w:r w:rsidR="00E95185">
        <w:t xml:space="preserve">themselves </w:t>
      </w:r>
      <w:r w:rsidR="00BD0141" w:rsidRPr="006D3942">
        <w:t>had appointed</w:t>
      </w:r>
      <w:r w:rsidR="006D3942" w:rsidRPr="006D3942">
        <w:t>.</w:t>
      </w:r>
      <w:r w:rsidR="006D3942" w:rsidRPr="006D3942">
        <w:rPr>
          <w:rStyle w:val="NoteRefInText"/>
        </w:rPr>
        <w:footnoteReference w:id="158"/>
      </w:r>
      <w:r w:rsidR="006D3942" w:rsidRPr="006D3942">
        <w:t xml:space="preserve"> This created conflicts </w:t>
      </w:r>
      <w:r w:rsidR="00140B3C">
        <w:t xml:space="preserve">of interest </w:t>
      </w:r>
      <w:r w:rsidR="00E95185">
        <w:t xml:space="preserve">in which </w:t>
      </w:r>
      <w:r w:rsidR="006D3942" w:rsidRPr="006D3942">
        <w:t xml:space="preserve">referees could learn information about the debtor’s estate from these administrative meetings ahead of judicial </w:t>
      </w:r>
      <w:r w:rsidR="006D3942" w:rsidRPr="006D3942">
        <w:lastRenderedPageBreak/>
        <w:t>proceedings</w:t>
      </w:r>
      <w:r w:rsidR="00140B3C">
        <w:t xml:space="preserve"> (</w:t>
      </w:r>
      <w:r w:rsidR="00292890">
        <w:t>where this information</w:t>
      </w:r>
      <w:r w:rsidR="00DD2496">
        <w:t xml:space="preserve"> could later be </w:t>
      </w:r>
      <w:r w:rsidR="006D3942" w:rsidRPr="006D3942">
        <w:t>deemed inadmissible</w:t>
      </w:r>
      <w:r w:rsidR="00140B3C">
        <w:t>)</w:t>
      </w:r>
      <w:r w:rsidR="006D3942" w:rsidRPr="006D3942">
        <w:t xml:space="preserve"> and engage in conversations with trustees in an ex parte manner ahead of trial.</w:t>
      </w:r>
      <w:r w:rsidR="006D3942" w:rsidRPr="006D3942">
        <w:rPr>
          <w:rStyle w:val="NoteRefInText"/>
        </w:rPr>
        <w:footnoteReference w:id="159"/>
      </w:r>
      <w:r w:rsidR="006D3942" w:rsidRPr="006D3942">
        <w:t xml:space="preserve"> </w:t>
      </w:r>
    </w:p>
    <w:p w14:paraId="1D920BC8" w14:textId="6DD74356" w:rsidR="006D3942" w:rsidRPr="006D3942" w:rsidRDefault="00843794" w:rsidP="00695136">
      <w:pPr>
        <w:pStyle w:val="Document"/>
      </w:pPr>
      <w:r>
        <w:t xml:space="preserve">Given these issues, critics </w:t>
      </w:r>
      <w:r w:rsidR="006D3942" w:rsidRPr="006D3942">
        <w:t>of the system argued that many referees were biased</w:t>
      </w:r>
      <w:r w:rsidR="00AC6723">
        <w:t xml:space="preserve"> and </w:t>
      </w:r>
      <w:r w:rsidR="006D3942" w:rsidRPr="006D3942">
        <w:t>underqualified.</w:t>
      </w:r>
      <w:r w:rsidR="006D3942" w:rsidRPr="006D3942">
        <w:rPr>
          <w:rStyle w:val="NoteRefInText"/>
        </w:rPr>
        <w:footnoteReference w:id="160"/>
      </w:r>
      <w:r w:rsidR="00BD0141">
        <w:t xml:space="preserve"> </w:t>
      </w:r>
      <w:r w:rsidR="006D3942" w:rsidRPr="006D3942">
        <w:t>The National Bankruptcy Conference, a group of practitioners, judges</w:t>
      </w:r>
      <w:r w:rsidR="00292890">
        <w:t>,</w:t>
      </w:r>
      <w:r w:rsidR="006D3942" w:rsidRPr="006D3942">
        <w:t xml:space="preserve"> and academics</w:t>
      </w:r>
      <w:r w:rsidR="00292890">
        <w:t>,</w:t>
      </w:r>
      <w:r w:rsidR="006D3942" w:rsidRPr="006D3942">
        <w:t xml:space="preserve"> urged that “[t]he need, perhaps most pressing, is for an independent, prestigious bankruptcy court with broad jurisdiction and powers.”</w:t>
      </w:r>
      <w:r w:rsidR="006D3942" w:rsidRPr="006D3942">
        <w:rPr>
          <w:rStyle w:val="NoteRefInText"/>
        </w:rPr>
        <w:footnoteReference w:id="161"/>
      </w:r>
    </w:p>
    <w:p w14:paraId="6ABDBC50" w14:textId="0B240F7E" w:rsidR="006D3942" w:rsidRPr="006D3942" w:rsidRDefault="00382E65" w:rsidP="00695136">
      <w:pPr>
        <w:pStyle w:val="Document"/>
      </w:pPr>
      <w:r>
        <w:t>E</w:t>
      </w:r>
      <w:r w:rsidR="006D3942" w:rsidRPr="006D3942">
        <w:t>ventually</w:t>
      </w:r>
      <w:r>
        <w:t>, this</w:t>
      </w:r>
      <w:r w:rsidR="006D3942" w:rsidRPr="006D3942">
        <w:t xml:space="preserve"> led to a showdown in Congress over competing plans to create a new and independent bankruptcy court.</w:t>
      </w:r>
      <w:r w:rsidR="006D3942" w:rsidRPr="006D3942">
        <w:rPr>
          <w:rStyle w:val="NoteRefInText"/>
        </w:rPr>
        <w:footnoteReference w:id="162"/>
      </w:r>
      <w:r w:rsidR="006D3942" w:rsidRPr="006D3942">
        <w:t xml:space="preserve"> </w:t>
      </w:r>
      <w:r w:rsidR="006C4C51">
        <w:t>An initial c</w:t>
      </w:r>
      <w:r w:rsidR="006D3942" w:rsidRPr="006D3942">
        <w:t>ompromise was reached</w:t>
      </w:r>
      <w:r w:rsidR="00292890">
        <w:t>,</w:t>
      </w:r>
      <w:r w:rsidR="006D3942" w:rsidRPr="006D3942">
        <w:t xml:space="preserve"> which culminated in the passage of the Bankruptcy Reform Act of 1978 and the creation of </w:t>
      </w:r>
      <w:r w:rsidR="006C4C51">
        <w:t>a</w:t>
      </w:r>
      <w:r w:rsidR="001550FE">
        <w:t>n</w:t>
      </w:r>
      <w:r w:rsidR="006D3942" w:rsidRPr="006D3942">
        <w:t xml:space="preserve"> independent bankruptcy court</w:t>
      </w:r>
      <w:r w:rsidR="001550FE">
        <w:t>,</w:t>
      </w:r>
      <w:r w:rsidR="006D3942" w:rsidRPr="006D3942">
        <w:t xml:space="preserve"> </w:t>
      </w:r>
      <w:r w:rsidR="006C4C51">
        <w:t xml:space="preserve">which was reexamined </w:t>
      </w:r>
      <w:r w:rsidR="00561ECE">
        <w:t xml:space="preserve">after the Supreme Court decision in </w:t>
      </w:r>
      <w:r w:rsidR="005F06A6" w:rsidRPr="005F06A6">
        <w:rPr>
          <w:i/>
          <w:iCs/>
        </w:rPr>
        <w:t>Northern Pipeline Construction Co. v. Marathon Pipe Line Co</w:t>
      </w:r>
      <w:r w:rsidR="005F06A6" w:rsidRPr="00E95185">
        <w:rPr>
          <w:i/>
          <w:iCs/>
        </w:rPr>
        <w:t>.</w:t>
      </w:r>
      <w:r w:rsidR="00213526" w:rsidRPr="00B053B5">
        <w:rPr>
          <w:rStyle w:val="NoteRefInText"/>
        </w:rPr>
        <w:footnoteReference w:id="163"/>
      </w:r>
      <w:r w:rsidR="00561ECE">
        <w:t xml:space="preserve"> </w:t>
      </w:r>
      <w:r w:rsidR="00E95185">
        <w:t xml:space="preserve">struck </w:t>
      </w:r>
      <w:r w:rsidR="00774B5A">
        <w:t>down m</w:t>
      </w:r>
      <w:r w:rsidR="00E95185">
        <w:t>o</w:t>
      </w:r>
      <w:r w:rsidR="00774B5A">
        <w:t xml:space="preserve">st of the initial plan </w:t>
      </w:r>
      <w:r w:rsidR="00561ECE">
        <w:t xml:space="preserve">through the </w:t>
      </w:r>
      <w:r w:rsidR="00561ECE" w:rsidRPr="00561ECE">
        <w:t>Bankruptcy Amendments and Federal Judgeship Act of 1984</w:t>
      </w:r>
      <w:r w:rsidR="006D3942" w:rsidRPr="006D3942">
        <w:t>.</w:t>
      </w:r>
      <w:bookmarkStart w:id="55" w:name="_Ref178775694"/>
      <w:r w:rsidR="006D3942" w:rsidRPr="006D3942">
        <w:rPr>
          <w:rStyle w:val="NoteRefInText"/>
        </w:rPr>
        <w:footnoteReference w:id="164"/>
      </w:r>
      <w:bookmarkEnd w:id="55"/>
      <w:r w:rsidR="006D3942" w:rsidRPr="006D3942">
        <w:t xml:space="preserve"> By understanding the process through which </w:t>
      </w:r>
      <w:r w:rsidR="008806F3">
        <w:t xml:space="preserve">the creation of the current bankruptcy court system </w:t>
      </w:r>
      <w:r w:rsidR="006D3942" w:rsidRPr="006D3942">
        <w:t>came</w:t>
      </w:r>
      <w:r w:rsidR="00140B3C">
        <w:t xml:space="preserve"> to pass</w:t>
      </w:r>
      <w:r w:rsidR="006D3942" w:rsidRPr="006D3942">
        <w:t xml:space="preserve">, guiding principles can be devised and transposed to the current dilemma facing U.S. </w:t>
      </w:r>
      <w:r w:rsidR="00345BEE">
        <w:t>i</w:t>
      </w:r>
      <w:r w:rsidR="006D3942" w:rsidRPr="006D3942">
        <w:t xml:space="preserve">mmigration </w:t>
      </w:r>
      <w:r w:rsidR="00345BEE">
        <w:t>c</w:t>
      </w:r>
      <w:r w:rsidR="006D3942" w:rsidRPr="006D3942">
        <w:t>ourts.</w:t>
      </w:r>
    </w:p>
    <w:p w14:paraId="10AFC8D3" w14:textId="2C55983A" w:rsidR="006D3942" w:rsidRPr="006D3942" w:rsidRDefault="006D3942" w:rsidP="00695136">
      <w:pPr>
        <w:pStyle w:val="Head2"/>
      </w:pPr>
      <w:bookmarkStart w:id="56" w:name="_Toc173015250"/>
      <w:bookmarkStart w:id="57" w:name="_Toc191465198"/>
      <w:r w:rsidRPr="006D3942">
        <w:t>B.</w:t>
      </w:r>
      <w:r w:rsidRPr="006D3942">
        <w:tab/>
        <w:t>Legislative Action to Create a Bankruptcy Court Under Article I</w:t>
      </w:r>
      <w:bookmarkEnd w:id="56"/>
      <w:bookmarkEnd w:id="57"/>
    </w:p>
    <w:p w14:paraId="42B80358" w14:textId="28ED28D5" w:rsidR="006D3942" w:rsidRPr="006D3942" w:rsidRDefault="006D3942" w:rsidP="00695136">
      <w:pPr>
        <w:pStyle w:val="Document"/>
      </w:pPr>
      <w:r w:rsidRPr="006D3942">
        <w:t xml:space="preserve">Legislative attempts to create a new Article I bankruptcy court began with a similar story of academic and scholarly calls for change in the face of pervasive, systemic problems facing the adjudication system. As a result, the Senate Judiciary Committee created a specialized </w:t>
      </w:r>
      <w:r w:rsidR="00444988">
        <w:t>c</w:t>
      </w:r>
      <w:r w:rsidRPr="006D3942">
        <w:t>ommission to investigate and evaluate the current state of bankruptcy law in the 1960s.</w:t>
      </w:r>
      <w:r w:rsidRPr="006D3942">
        <w:rPr>
          <w:rStyle w:val="NoteRefInText"/>
        </w:rPr>
        <w:footnoteReference w:id="165"/>
      </w:r>
      <w:r w:rsidRPr="006D3942">
        <w:t xml:space="preserve"> Surprisingly, even though the Senate’s initial proposal included a number </w:t>
      </w:r>
      <w:r w:rsidR="00444988">
        <w:t xml:space="preserve">of </w:t>
      </w:r>
      <w:r w:rsidRPr="006D3942">
        <w:t xml:space="preserve">bankruptcy referees who would serve on the </w:t>
      </w:r>
      <w:r w:rsidR="00444988">
        <w:t>c</w:t>
      </w:r>
      <w:r w:rsidRPr="006D3942">
        <w:t>ommission, the referees’ input was ultimately excluded at the behest of the judiciary.</w:t>
      </w:r>
      <w:r w:rsidRPr="006D3942">
        <w:rPr>
          <w:rStyle w:val="NoteRefInText"/>
        </w:rPr>
        <w:footnoteReference w:id="166"/>
      </w:r>
      <w:r w:rsidRPr="006D3942">
        <w:t xml:space="preserve"> The Judicial Conference of the United States urged the Senate to exclude referees</w:t>
      </w:r>
      <w:r w:rsidR="00660701">
        <w:t xml:space="preserve">, </w:t>
      </w:r>
      <w:r w:rsidRPr="006D3942">
        <w:t xml:space="preserve">claiming that referees had special interests that would not further the goals of the </w:t>
      </w:r>
      <w:r w:rsidR="00444988">
        <w:t>c</w:t>
      </w:r>
      <w:r w:rsidRPr="006D3942">
        <w:t>ommission.</w:t>
      </w:r>
      <w:r w:rsidRPr="006D3942">
        <w:rPr>
          <w:rStyle w:val="NoteRefInText"/>
        </w:rPr>
        <w:footnoteReference w:id="167"/>
      </w:r>
      <w:r w:rsidRPr="006D3942">
        <w:t xml:space="preserve"> As one scholar argued, this appeared </w:t>
      </w:r>
      <w:r w:rsidR="002C3AC8">
        <w:t xml:space="preserve">to be </w:t>
      </w:r>
      <w:r w:rsidRPr="006D3942">
        <w:t xml:space="preserve">a flimsy excuse </w:t>
      </w:r>
      <w:r w:rsidRPr="006D3942">
        <w:lastRenderedPageBreak/>
        <w:t xml:space="preserve">for the real motivation behind the judiciary’s reluctance to allow bankruptcy </w:t>
      </w:r>
      <w:r w:rsidRPr="00C22323">
        <w:t>judges</w:t>
      </w:r>
      <w:r w:rsidRPr="006D3942">
        <w:t xml:space="preserve"> a seat at the table</w:t>
      </w:r>
      <w:r w:rsidR="00F34F88">
        <w:t xml:space="preserve">: </w:t>
      </w:r>
      <w:r w:rsidRPr="006D3942">
        <w:t xml:space="preserve">the fear of a “transfer </w:t>
      </w:r>
      <w:r w:rsidR="00DD2496">
        <w:t xml:space="preserve">[of] </w:t>
      </w:r>
      <w:r w:rsidRPr="006D3942">
        <w:t>power and status from the federal judiciary.”</w:t>
      </w:r>
      <w:r w:rsidRPr="006D3942">
        <w:rPr>
          <w:rStyle w:val="NoteRefInText"/>
        </w:rPr>
        <w:footnoteReference w:id="168"/>
      </w:r>
      <w:r w:rsidRPr="006D3942">
        <w:t xml:space="preserve"> The initial investigation culminated in the 1973 report by the Commission on the Bankruptcy Laws of the United States</w:t>
      </w:r>
      <w:r w:rsidR="00F34F88">
        <w:t>,</w:t>
      </w:r>
      <w:r w:rsidRPr="006D3942">
        <w:t xml:space="preserve"> which called for reforms that would reorganize bankruptcy in order to separate trustees from </w:t>
      </w:r>
      <w:r w:rsidR="00660701">
        <w:t xml:space="preserve">the influence </w:t>
      </w:r>
      <w:r w:rsidR="00623D80">
        <w:t xml:space="preserve">of </w:t>
      </w:r>
      <w:r w:rsidRPr="006D3942">
        <w:t>bankruptcy judges.</w:t>
      </w:r>
      <w:r w:rsidRPr="006D3942">
        <w:rPr>
          <w:rStyle w:val="NoteRefInText"/>
        </w:rPr>
        <w:footnoteReference w:id="169"/>
      </w:r>
      <w:r w:rsidRPr="006D3942">
        <w:t xml:space="preserve"> Bankruptcy judges reacted with anger towards the plan that had been created in their absence and released their own proposal to reform the bankruptcy courts</w:t>
      </w:r>
      <w:r w:rsidR="00F34F88">
        <w:t>,</w:t>
      </w:r>
      <w:r w:rsidRPr="006D3942">
        <w:t xml:space="preserve"> which would</w:t>
      </w:r>
      <w:r w:rsidR="003160C0">
        <w:t xml:space="preserve"> </w:t>
      </w:r>
      <w:r w:rsidRPr="006D3942">
        <w:t>further consolidate power in the hands of the bankruptcy judge.</w:t>
      </w:r>
      <w:r w:rsidRPr="006D3942">
        <w:rPr>
          <w:rStyle w:val="NoteRefInText"/>
        </w:rPr>
        <w:footnoteReference w:id="170"/>
      </w:r>
      <w:r w:rsidRPr="006D3942">
        <w:t xml:space="preserve"> The bankruptcy judges</w:t>
      </w:r>
      <w:r w:rsidR="00444988">
        <w:t>’</w:t>
      </w:r>
      <w:r w:rsidRPr="006D3942">
        <w:t xml:space="preserve"> bill was more detailed than the Commission’s</w:t>
      </w:r>
      <w:r w:rsidR="00A753B1">
        <w:t xml:space="preserve"> proposal</w:t>
      </w:r>
      <w:r w:rsidRPr="006D3942">
        <w:t xml:space="preserve"> and received positive support in Congress, effectively allowing bankruptcy judges a seat at the legislative table.</w:t>
      </w:r>
      <w:r w:rsidRPr="006D3942">
        <w:rPr>
          <w:rStyle w:val="NoteRefInText"/>
        </w:rPr>
        <w:footnoteReference w:id="171"/>
      </w:r>
    </w:p>
    <w:p w14:paraId="286525C1" w14:textId="072D9ECB" w:rsidR="006D3942" w:rsidRPr="006D3942" w:rsidRDefault="006D3942" w:rsidP="00695136">
      <w:pPr>
        <w:pStyle w:val="Document"/>
      </w:pPr>
      <w:r w:rsidRPr="006D3942">
        <w:t>Throughout the 1970s, fierce debate in the House ensued over the future of bankruptcy.</w:t>
      </w:r>
      <w:r w:rsidRPr="006D3942">
        <w:rPr>
          <w:rStyle w:val="NoteRefInText"/>
        </w:rPr>
        <w:footnoteReference w:id="172"/>
      </w:r>
      <w:r w:rsidRPr="006D3942">
        <w:t xml:space="preserve"> Several bills were introduced in the House and revised in committee as representatives argued over the specifics of the plan.</w:t>
      </w:r>
      <w:r w:rsidRPr="006D3942">
        <w:rPr>
          <w:rStyle w:val="NoteRefInText"/>
        </w:rPr>
        <w:footnoteReference w:id="173"/>
      </w:r>
      <w:r w:rsidRPr="006D3942">
        <w:t xml:space="preserve"> Ultimately, the House settled on the plan articulated in House Bill 8200.</w:t>
      </w:r>
      <w:r w:rsidRPr="006D3942">
        <w:rPr>
          <w:rStyle w:val="NoteRefInText"/>
        </w:rPr>
        <w:footnoteReference w:id="174"/>
      </w:r>
      <w:r w:rsidRPr="006D3942">
        <w:t xml:space="preserve"> This bill would have drastically changed the bankruptcy system by elevating the status of bankruptcy judges to Article III judges and by moving the bankruptcy trustees to a completely separate agency under the DOJ.</w:t>
      </w:r>
      <w:r w:rsidRPr="006D3942">
        <w:rPr>
          <w:rStyle w:val="NoteRefInText"/>
        </w:rPr>
        <w:footnoteReference w:id="175"/>
      </w:r>
      <w:r w:rsidRPr="006D3942">
        <w:t xml:space="preserve"> The House passed House Bill 8200 by a voice vote</w:t>
      </w:r>
      <w:r w:rsidR="00DD2496">
        <w:t xml:space="preserve"> in February 1978.</w:t>
      </w:r>
      <w:r w:rsidRPr="006D3942">
        <w:rPr>
          <w:rStyle w:val="NoteRefInText"/>
        </w:rPr>
        <w:footnoteReference w:id="176"/>
      </w:r>
      <w:r w:rsidRPr="006D3942">
        <w:t xml:space="preserve"> </w:t>
      </w:r>
      <w:r w:rsidR="00DD2496">
        <w:t>During this period</w:t>
      </w:r>
      <w:r w:rsidRPr="006D3942">
        <w:t>, the Senate introduced the previous bills authored by the Commission and the consortium of bankruptcy judges.</w:t>
      </w:r>
      <w:r w:rsidRPr="006D3942">
        <w:rPr>
          <w:rStyle w:val="NoteRefInText"/>
        </w:rPr>
        <w:footnoteReference w:id="177"/>
      </w:r>
      <w:r w:rsidRPr="006D3942">
        <w:t xml:space="preserve"> These bills eventually morphed into Senate Bill 2266</w:t>
      </w:r>
      <w:r w:rsidR="00DD2496">
        <w:t>,</w:t>
      </w:r>
      <w:r w:rsidRPr="006D3942">
        <w:t xml:space="preserve"> which made its way to a vote and was passed by the Senate as a substitute to House Bill 8200.</w:t>
      </w:r>
      <w:r w:rsidRPr="006D3942">
        <w:rPr>
          <w:rStyle w:val="NoteRefInText"/>
        </w:rPr>
        <w:footnoteReference w:id="178"/>
      </w:r>
      <w:r w:rsidRPr="006D3942">
        <w:t xml:space="preserve"> Rather than creat</w:t>
      </w:r>
      <w:r w:rsidR="00444988">
        <w:t>ing</w:t>
      </w:r>
      <w:r w:rsidRPr="006D3942">
        <w:t xml:space="preserve"> an Article III bankruptcy court, Senate Bill 2266 would </w:t>
      </w:r>
      <w:r w:rsidR="00444988">
        <w:t xml:space="preserve">have </w:t>
      </w:r>
      <w:r w:rsidRPr="006D3942">
        <w:t>ke</w:t>
      </w:r>
      <w:r w:rsidR="00444988">
        <w:t>pt</w:t>
      </w:r>
      <w:r w:rsidRPr="006D3942">
        <w:t xml:space="preserve"> bankruptcy judges working directly under the district courts and add</w:t>
      </w:r>
      <w:r w:rsidR="00444988">
        <w:t>ed</w:t>
      </w:r>
      <w:r w:rsidRPr="006D3942">
        <w:t xml:space="preserve"> more modest protection</w:t>
      </w:r>
      <w:r w:rsidR="00660701">
        <w:t>s</w:t>
      </w:r>
      <w:r w:rsidRPr="006D3942">
        <w:t xml:space="preserve"> for decisional independence.</w:t>
      </w:r>
      <w:r w:rsidRPr="006D3942">
        <w:rPr>
          <w:rStyle w:val="NoteRefInText"/>
        </w:rPr>
        <w:footnoteReference w:id="179"/>
      </w:r>
      <w:r w:rsidRPr="006D3942">
        <w:t xml:space="preserve"> Instead of district court appointments, the </w:t>
      </w:r>
      <w:r w:rsidR="00D807A4">
        <w:t>U.S.</w:t>
      </w:r>
      <w:r w:rsidRPr="006D3942">
        <w:t xml:space="preserve"> Court of Appeals for each circuit would </w:t>
      </w:r>
      <w:r w:rsidR="00444988">
        <w:t xml:space="preserve">have </w:t>
      </w:r>
      <w:r w:rsidRPr="006D3942">
        <w:t>appoint</w:t>
      </w:r>
      <w:r w:rsidR="00444988">
        <w:t>ed</w:t>
      </w:r>
      <w:r w:rsidRPr="006D3942">
        <w:t xml:space="preserve"> bankruptcy judges to twelve-year term</w:t>
      </w:r>
      <w:r w:rsidR="002A4C44">
        <w:t>s</w:t>
      </w:r>
      <w:r w:rsidRPr="006D3942">
        <w:t>.</w:t>
      </w:r>
      <w:r w:rsidRPr="006D3942">
        <w:rPr>
          <w:rStyle w:val="NoteRefInText"/>
        </w:rPr>
        <w:footnoteReference w:id="180"/>
      </w:r>
      <w:r w:rsidRPr="006D3942">
        <w:t xml:space="preserve"> In addition, bankruptcy </w:t>
      </w:r>
      <w:r w:rsidRPr="006D3942">
        <w:lastRenderedPageBreak/>
        <w:t xml:space="preserve">trustees would </w:t>
      </w:r>
      <w:r w:rsidR="00444988">
        <w:t xml:space="preserve">have </w:t>
      </w:r>
      <w:r w:rsidRPr="006D3942">
        <w:t>remain</w:t>
      </w:r>
      <w:r w:rsidR="00444988">
        <w:t>ed</w:t>
      </w:r>
      <w:r w:rsidRPr="006D3942">
        <w:t xml:space="preserve"> under the </w:t>
      </w:r>
      <w:r w:rsidR="00444988">
        <w:t>J</w:t>
      </w:r>
      <w:r w:rsidRPr="006D3942">
        <w:t xml:space="preserve">udicial </w:t>
      </w:r>
      <w:r w:rsidR="00444988">
        <w:t>B</w:t>
      </w:r>
      <w:r w:rsidRPr="006D3942">
        <w:t xml:space="preserve">ranch instead of being given a new home under the </w:t>
      </w:r>
      <w:r w:rsidR="002D730A">
        <w:t>E</w:t>
      </w:r>
      <w:r w:rsidRPr="006D3942">
        <w:t xml:space="preserve">xecutive </w:t>
      </w:r>
      <w:r w:rsidR="002D730A">
        <w:t>B</w:t>
      </w:r>
      <w:r w:rsidRPr="006D3942">
        <w:t>ranch.</w:t>
      </w:r>
      <w:r w:rsidRPr="006D3942">
        <w:rPr>
          <w:rStyle w:val="NoteRefInText"/>
        </w:rPr>
        <w:footnoteReference w:id="181"/>
      </w:r>
    </w:p>
    <w:p w14:paraId="47C0F4FE" w14:textId="13F94B16" w:rsidR="00FA497E" w:rsidRDefault="006D3942" w:rsidP="00695136">
      <w:pPr>
        <w:pStyle w:val="Document"/>
      </w:pPr>
      <w:r w:rsidRPr="006D3942">
        <w:t>The competing plans for reform led to an impasse in Congress that persisted over the summer</w:t>
      </w:r>
      <w:r w:rsidR="00DD2496">
        <w:t xml:space="preserve"> of 1978</w:t>
      </w:r>
      <w:r w:rsidRPr="006D3942">
        <w:t>.</w:t>
      </w:r>
      <w:r w:rsidRPr="006D3942">
        <w:rPr>
          <w:rStyle w:val="NoteRefInText"/>
        </w:rPr>
        <w:footnoteReference w:id="182"/>
      </w:r>
      <w:r w:rsidRPr="006D3942">
        <w:t xml:space="preserve"> However, </w:t>
      </w:r>
      <w:r w:rsidR="002E0A62">
        <w:t xml:space="preserve">a </w:t>
      </w:r>
      <w:r w:rsidRPr="006D3942">
        <w:t xml:space="preserve">compromise </w:t>
      </w:r>
      <w:r w:rsidR="002E0A62">
        <w:t xml:space="preserve">between the bills </w:t>
      </w:r>
      <w:r w:rsidRPr="006D3942">
        <w:t xml:space="preserve">was reached and </w:t>
      </w:r>
      <w:r w:rsidR="002E0A62">
        <w:t xml:space="preserve">the </w:t>
      </w:r>
      <w:r w:rsidR="002E0A62" w:rsidRPr="006D3942">
        <w:t>1978 Act</w:t>
      </w:r>
      <w:r w:rsidR="002E0A62">
        <w:t xml:space="preserve"> </w:t>
      </w:r>
      <w:r w:rsidR="00633EC7">
        <w:t xml:space="preserve">was </w:t>
      </w:r>
      <w:r w:rsidRPr="006D3942">
        <w:t>signed into law November of</w:t>
      </w:r>
      <w:r w:rsidR="00660701">
        <w:t xml:space="preserve"> that year</w:t>
      </w:r>
      <w:r w:rsidRPr="006D3942">
        <w:t>.</w:t>
      </w:r>
      <w:r w:rsidRPr="006D3942">
        <w:rPr>
          <w:rStyle w:val="NoteRefInText"/>
        </w:rPr>
        <w:footnoteReference w:id="183"/>
      </w:r>
      <w:r w:rsidR="00690071">
        <w:t xml:space="preserve"> </w:t>
      </w:r>
      <w:r w:rsidRPr="006D3942">
        <w:t>As suggested by Prof</w:t>
      </w:r>
      <w:r w:rsidR="00444988">
        <w:t>essor</w:t>
      </w:r>
      <w:r w:rsidRPr="006D3942">
        <w:t xml:space="preserve"> Eric Posner in his detailed account of the legislative and political history surrounding the creation of the modern bankruptcy courts, </w:t>
      </w:r>
      <w:r w:rsidR="00FE53DB">
        <w:t>this initial compromise may have been reach</w:t>
      </w:r>
      <w:r w:rsidR="00633EC7">
        <w:t>ed</w:t>
      </w:r>
      <w:r w:rsidR="00FE53DB">
        <w:t xml:space="preserve"> because </w:t>
      </w:r>
      <w:r w:rsidRPr="006D3942">
        <w:t xml:space="preserve">the new court system created additional “patronage” opportunities for the political branches to exert control over bankruptcy policy </w:t>
      </w:r>
      <w:r w:rsidR="00DD2496">
        <w:t>in ways that</w:t>
      </w:r>
      <w:r w:rsidRPr="006D3942">
        <w:t xml:space="preserve"> served political interests.</w:t>
      </w:r>
      <w:bookmarkStart w:id="58" w:name="_Ref177480460"/>
      <w:r w:rsidRPr="006D3942">
        <w:rPr>
          <w:rStyle w:val="NoteRefInText"/>
        </w:rPr>
        <w:footnoteReference w:id="184"/>
      </w:r>
      <w:bookmarkEnd w:id="58"/>
      <w:r w:rsidRPr="006D3942">
        <w:t xml:space="preserve"> Posner identified</w:t>
      </w:r>
      <w:r w:rsidR="008B434B">
        <w:t xml:space="preserve"> </w:t>
      </w:r>
      <w:r w:rsidR="009811BB">
        <w:t>appointment as one</w:t>
      </w:r>
      <w:r w:rsidR="009811BB" w:rsidRPr="006D3942">
        <w:t xml:space="preserve"> </w:t>
      </w:r>
      <w:r w:rsidRPr="006D3942">
        <w:t>area where the new court shifted the balance of power from the judiciary into the hands of the other branches.</w:t>
      </w:r>
      <w:r w:rsidRPr="006D3942">
        <w:rPr>
          <w:rStyle w:val="NoteRefInText"/>
        </w:rPr>
        <w:footnoteReference w:id="185"/>
      </w:r>
      <w:r w:rsidRPr="006D3942">
        <w:t xml:space="preserve"> For example, the final version of the bill took a middle ground between the proposals for the appointment process and created a process of presidential appointment and </w:t>
      </w:r>
      <w:r w:rsidR="00444988">
        <w:t>S</w:t>
      </w:r>
      <w:r w:rsidRPr="006D3942">
        <w:t xml:space="preserve">enate confirmation that also included </w:t>
      </w:r>
      <w:r w:rsidR="00660701">
        <w:t xml:space="preserve">fourteen-year term limits </w:t>
      </w:r>
      <w:r w:rsidRPr="006D3942">
        <w:t>with a pilot transitional program for referees who were already working in the courts.</w:t>
      </w:r>
      <w:bookmarkStart w:id="59" w:name="_Ref187576593"/>
      <w:r w:rsidRPr="006D3942">
        <w:rPr>
          <w:rStyle w:val="NoteRefInText"/>
        </w:rPr>
        <w:footnoteReference w:id="186"/>
      </w:r>
      <w:bookmarkEnd w:id="59"/>
      <w:r w:rsidRPr="006D3942">
        <w:t xml:space="preserve"> This new appointment process seized power from the district courts and allowed both the </w:t>
      </w:r>
      <w:r w:rsidR="002D730A">
        <w:t>L</w:t>
      </w:r>
      <w:r w:rsidRPr="006D3942">
        <w:t xml:space="preserve">egislative and </w:t>
      </w:r>
      <w:r w:rsidR="002D730A">
        <w:t>E</w:t>
      </w:r>
      <w:r w:rsidRPr="006D3942">
        <w:t xml:space="preserve">xecutive </w:t>
      </w:r>
      <w:r w:rsidR="002D730A">
        <w:t>B</w:t>
      </w:r>
      <w:r w:rsidRPr="006D3942">
        <w:t>ranch</w:t>
      </w:r>
      <w:r w:rsidR="00444988">
        <w:t>es</w:t>
      </w:r>
      <w:r w:rsidRPr="006D3942">
        <w:t xml:space="preserve"> to gain greater opportunity to influence bankruptcy policy and receive political benefits</w:t>
      </w:r>
      <w:r w:rsidR="0038292A">
        <w:t xml:space="preserve"> through patronage opportunities</w:t>
      </w:r>
      <w:r w:rsidR="002E0A62">
        <w:t xml:space="preserve"> in the appointments process</w:t>
      </w:r>
      <w:r w:rsidRPr="006D3942">
        <w:t>.</w:t>
      </w:r>
      <w:r w:rsidRPr="006D3942">
        <w:rPr>
          <w:rStyle w:val="NoteRefInText"/>
        </w:rPr>
        <w:footnoteReference w:id="187"/>
      </w:r>
      <w:r w:rsidRPr="006D3942">
        <w:t xml:space="preserve"> </w:t>
      </w:r>
    </w:p>
    <w:p w14:paraId="7CBDAC87" w14:textId="5DC242D0" w:rsidR="006D3942" w:rsidRPr="006D3942" w:rsidRDefault="006D3942" w:rsidP="00695136">
      <w:pPr>
        <w:pStyle w:val="Document"/>
      </w:pPr>
      <w:r w:rsidRPr="006D3942">
        <w:t>Moreover, the Senate’s concerns about the appoint</w:t>
      </w:r>
      <w:r w:rsidR="0038292A">
        <w:t>ment</w:t>
      </w:r>
      <w:r w:rsidR="00FA497E">
        <w:t xml:space="preserve"> of</w:t>
      </w:r>
      <w:r w:rsidRPr="006D3942">
        <w:t xml:space="preserve"> bankruptcy judges for life may have been a driving factor in the rejection </w:t>
      </w:r>
      <w:r w:rsidR="00646D1C">
        <w:t xml:space="preserve">of the proposal </w:t>
      </w:r>
      <w:r w:rsidRPr="006D3942">
        <w:t>for an Article III court in favor of the term</w:t>
      </w:r>
      <w:r w:rsidR="00444988">
        <w:t xml:space="preserve"> </w:t>
      </w:r>
      <w:r w:rsidRPr="006D3942">
        <w:t>limits in the final plan</w:t>
      </w:r>
      <w:r w:rsidR="00444988">
        <w:t>,</w:t>
      </w:r>
      <w:r w:rsidRPr="006D3942">
        <w:t xml:space="preserve"> which would</w:t>
      </w:r>
      <w:r w:rsidR="00A97E9D">
        <w:t xml:space="preserve"> also</w:t>
      </w:r>
      <w:r w:rsidRPr="006D3942">
        <w:t xml:space="preserve"> allow the Senate to exercise greater control</w:t>
      </w:r>
      <w:r w:rsidR="00646D1C">
        <w:t xml:space="preserve"> </w:t>
      </w:r>
      <w:r w:rsidR="00D62AF9">
        <w:t xml:space="preserve">over </w:t>
      </w:r>
      <w:r w:rsidR="00646D1C">
        <w:t>bankruptcy judges</w:t>
      </w:r>
      <w:r w:rsidRPr="006D3942">
        <w:t>.</w:t>
      </w:r>
      <w:r w:rsidRPr="006D3942">
        <w:rPr>
          <w:rStyle w:val="NoteRefInText"/>
        </w:rPr>
        <w:footnoteReference w:id="188"/>
      </w:r>
      <w:r w:rsidRPr="006D3942">
        <w:t xml:space="preserve"> </w:t>
      </w:r>
    </w:p>
    <w:p w14:paraId="44F83AA2" w14:textId="47F85FB5" w:rsidR="00444988" w:rsidRDefault="006D3942" w:rsidP="00695136">
      <w:pPr>
        <w:pStyle w:val="Document"/>
      </w:pPr>
      <w:r w:rsidRPr="006D3942">
        <w:t>However, th</w:t>
      </w:r>
      <w:r w:rsidR="00DD3AA1">
        <w:t>is</w:t>
      </w:r>
      <w:r w:rsidR="001550FE">
        <w:t xml:space="preserve"> </w:t>
      </w:r>
      <w:r w:rsidRPr="006D3942">
        <w:t xml:space="preserve">iteration of the </w:t>
      </w:r>
      <w:r w:rsidR="00363B22">
        <w:t xml:space="preserve">new </w:t>
      </w:r>
      <w:r w:rsidRPr="006D3942">
        <w:t xml:space="preserve">plan did not </w:t>
      </w:r>
      <w:r w:rsidR="00A97E9D">
        <w:t xml:space="preserve">come to fruition </w:t>
      </w:r>
      <w:r w:rsidRPr="006D3942">
        <w:t xml:space="preserve">with just the efforts of the </w:t>
      </w:r>
      <w:r w:rsidR="00444988">
        <w:t>E</w:t>
      </w:r>
      <w:r w:rsidRPr="006D3942">
        <w:t xml:space="preserve">xecutive and </w:t>
      </w:r>
      <w:r w:rsidR="00444988">
        <w:t>L</w:t>
      </w:r>
      <w:r w:rsidRPr="006D3942">
        <w:t xml:space="preserve">egislative </w:t>
      </w:r>
      <w:r w:rsidR="00444988">
        <w:t>B</w:t>
      </w:r>
      <w:r w:rsidRPr="006D3942">
        <w:t>ranches. I</w:t>
      </w:r>
      <w:r w:rsidR="00A97E9D">
        <w:t>ndeed, i</w:t>
      </w:r>
      <w:r w:rsidRPr="006D3942">
        <w:t xml:space="preserve">t was not until concessions were made to </w:t>
      </w:r>
      <w:r w:rsidR="000B7B34">
        <w:t xml:space="preserve">the Judicial Branch </w:t>
      </w:r>
      <w:r w:rsidRPr="006D3942">
        <w:t>that th</w:t>
      </w:r>
      <w:r w:rsidR="00D62AF9">
        <w:t xml:space="preserve">is initial </w:t>
      </w:r>
      <w:r w:rsidRPr="006D3942">
        <w:t>compromise fully materialized. In a memo to President Carter in the fall of 1978 on the progress of the bill, one advisor stated</w:t>
      </w:r>
      <w:r w:rsidR="00444988">
        <w:t xml:space="preserve">: </w:t>
      </w:r>
    </w:p>
    <w:p w14:paraId="79E2C91F" w14:textId="2682DEE3" w:rsidR="00444988" w:rsidRDefault="009811BB" w:rsidP="00695136">
      <w:pPr>
        <w:pStyle w:val="1stBlockQuoteTXT"/>
      </w:pPr>
      <w:r>
        <w:t>[T]</w:t>
      </w:r>
      <w:r w:rsidR="006D3942" w:rsidRPr="006D3942">
        <w:t xml:space="preserve">he only remaining opposition [to the Bankruptcy Act of 1978] is that of the Judicial Conference, 25 judges headed by the Chief Justice. It is my judgment that the principal reason for this emotional </w:t>
      </w:r>
      <w:r w:rsidR="006D3942" w:rsidRPr="006D3942">
        <w:lastRenderedPageBreak/>
        <w:t>opposition is the desire of this small group, and particularly the district court judges, to retain the right of appointment of bankruptcy judges (referees), which they now have</w:t>
      </w:r>
      <w:r w:rsidR="00A97E9D">
        <w:t xml:space="preserve"> </w:t>
      </w:r>
      <w:r>
        <w:t>. . . </w:t>
      </w:r>
      <w:r w:rsidR="006D3942" w:rsidRPr="006D3942">
        <w:t>.</w:t>
      </w:r>
      <w:r w:rsidR="006D3942" w:rsidRPr="006D3942">
        <w:rPr>
          <w:rStyle w:val="NoteRefInText"/>
        </w:rPr>
        <w:footnoteReference w:id="189"/>
      </w:r>
      <w:r w:rsidR="006D3942" w:rsidRPr="006D3942">
        <w:t xml:space="preserve"> </w:t>
      </w:r>
    </w:p>
    <w:p w14:paraId="58181228" w14:textId="6A4F71D0" w:rsidR="006D3942" w:rsidRPr="006D3942" w:rsidRDefault="006D3942" w:rsidP="00695136">
      <w:pPr>
        <w:pStyle w:val="Document"/>
        <w:ind w:firstLine="0"/>
      </w:pPr>
      <w:r w:rsidRPr="006D3942">
        <w:t xml:space="preserve">That fall, an irate Chief Justice Burger lobbied fiercely against the passage of the 1978 Act, concerned about the </w:t>
      </w:r>
      <w:r w:rsidR="00660701">
        <w:t xml:space="preserve">federal judiciary’s perceived </w:t>
      </w:r>
      <w:r w:rsidRPr="006D3942">
        <w:t xml:space="preserve">loss </w:t>
      </w:r>
      <w:r w:rsidR="00660701">
        <w:t xml:space="preserve">of </w:t>
      </w:r>
      <w:r w:rsidRPr="006D3942">
        <w:t>status and power.</w:t>
      </w:r>
      <w:r w:rsidRPr="006D3942">
        <w:rPr>
          <w:rStyle w:val="NoteRefInText"/>
        </w:rPr>
        <w:footnoteReference w:id="190"/>
      </w:r>
      <w:r w:rsidRPr="006D3942">
        <w:t xml:space="preserve"> As a result, the Senate created a compromise with the Chief Justice to allow the judiciary to retain some of its power</w:t>
      </w:r>
      <w:r w:rsidR="007F4FC3">
        <w:t>,</w:t>
      </w:r>
      <w:r w:rsidRPr="006D3942">
        <w:t xml:space="preserve"> including several provisions to lower the status of the new bankruptcy judges.</w:t>
      </w:r>
      <w:r w:rsidRPr="006D3942">
        <w:rPr>
          <w:rStyle w:val="NoteRefInText"/>
        </w:rPr>
        <w:footnoteReference w:id="191"/>
      </w:r>
      <w:r w:rsidRPr="006D3942">
        <w:t xml:space="preserve"> Key to placating the </w:t>
      </w:r>
      <w:r w:rsidR="007F4FC3">
        <w:t>J</w:t>
      </w:r>
      <w:r w:rsidRPr="006D3942">
        <w:t xml:space="preserve">udicial </w:t>
      </w:r>
      <w:r w:rsidR="007F4FC3">
        <w:t>B</w:t>
      </w:r>
      <w:r w:rsidRPr="006D3942">
        <w:t xml:space="preserve">ranch was the inclusion of a provision requiring the President to give consideration to nominees recommended by each </w:t>
      </w:r>
      <w:r w:rsidR="007F4FC3">
        <w:t>c</w:t>
      </w:r>
      <w:r w:rsidRPr="006D3942">
        <w:t xml:space="preserve">ircuit’s </w:t>
      </w:r>
      <w:r w:rsidR="000B7B34">
        <w:t>j</w:t>
      </w:r>
      <w:r w:rsidRPr="006D3942">
        <w:t xml:space="preserve">udicial </w:t>
      </w:r>
      <w:r w:rsidR="000B7B34">
        <w:t>c</w:t>
      </w:r>
      <w:r w:rsidRPr="006D3942">
        <w:t>oun</w:t>
      </w:r>
      <w:r w:rsidR="000B7B34">
        <w:t>ci</w:t>
      </w:r>
      <w:r w:rsidRPr="006D3942">
        <w:t>l.</w:t>
      </w:r>
      <w:r w:rsidRPr="006D3942">
        <w:rPr>
          <w:rStyle w:val="NoteRefInText"/>
        </w:rPr>
        <w:footnoteReference w:id="192"/>
      </w:r>
      <w:r w:rsidRPr="006D3942">
        <w:t xml:space="preserve"> Thus, Congress was able to </w:t>
      </w:r>
      <w:r w:rsidR="00D62AF9">
        <w:t xml:space="preserve">fashion a bill for the creation of a new </w:t>
      </w:r>
      <w:r w:rsidR="00363B22">
        <w:t xml:space="preserve">independent </w:t>
      </w:r>
      <w:r w:rsidRPr="006D3942">
        <w:t xml:space="preserve">bankruptcy court by creating a compromise </w:t>
      </w:r>
      <w:r w:rsidR="007F4FC3">
        <w:t>that</w:t>
      </w:r>
      <w:r w:rsidRPr="006D3942">
        <w:t xml:space="preserve"> reshuffled the power and control over the domain of bankruptcy in the U.S. between the three branches.</w:t>
      </w:r>
    </w:p>
    <w:p w14:paraId="15C343CF" w14:textId="318BBC0F" w:rsidR="00D62AF9" w:rsidRDefault="006D3942" w:rsidP="00695136">
      <w:pPr>
        <w:pStyle w:val="Document"/>
      </w:pPr>
      <w:r w:rsidRPr="006D3942">
        <w:t xml:space="preserve">However, even though this compromise resulted in the successful passage of the Bankruptcy Reform Act of 1978, the battle </w:t>
      </w:r>
      <w:r w:rsidR="007C15CA">
        <w:t>was not ov</w:t>
      </w:r>
      <w:r w:rsidRPr="006D3942">
        <w:t xml:space="preserve">er. Shortly after the passage of the 1978 Act, the </w:t>
      </w:r>
      <w:r w:rsidR="007F4FC3" w:rsidRPr="006A1AF4">
        <w:t>J</w:t>
      </w:r>
      <w:r w:rsidRPr="006A1AF4">
        <w:t xml:space="preserve">udicial </w:t>
      </w:r>
      <w:r w:rsidR="007F4FC3" w:rsidRPr="006A1AF4">
        <w:t>B</w:t>
      </w:r>
      <w:r w:rsidRPr="006A1AF4">
        <w:t>ranch</w:t>
      </w:r>
      <w:r w:rsidR="00660701">
        <w:t>—</w:t>
      </w:r>
      <w:r w:rsidRPr="006A1AF4">
        <w:t xml:space="preserve">who had been mostly shut out by constitutional design of the initial process </w:t>
      </w:r>
      <w:r w:rsidR="007F4FC3" w:rsidRPr="006A1AF4">
        <w:t>that</w:t>
      </w:r>
      <w:r w:rsidRPr="006A1AF4">
        <w:t xml:space="preserve"> had stripped most of </w:t>
      </w:r>
      <w:r w:rsidR="00A801FD" w:rsidRPr="006A1AF4">
        <w:t xml:space="preserve">its </w:t>
      </w:r>
      <w:r w:rsidRPr="006A1AF4">
        <w:t>power</w:t>
      </w:r>
      <w:r w:rsidR="002627E4">
        <w:t xml:space="preserve"> over bankruptcy</w:t>
      </w:r>
      <w:r w:rsidR="00660701">
        <w:t xml:space="preserve">—once again </w:t>
      </w:r>
      <w:r w:rsidRPr="006A1AF4">
        <w:t>reared its head when the Supreme Court</w:t>
      </w:r>
      <w:r w:rsidR="000B7B34">
        <w:t xml:space="preserve"> </w:t>
      </w:r>
      <w:r w:rsidRPr="006A1AF4">
        <w:t xml:space="preserve">struck down the initial compromise as unconstitutional </w:t>
      </w:r>
      <w:r w:rsidR="00660701">
        <w:t xml:space="preserve">after finding </w:t>
      </w:r>
      <w:r w:rsidR="00D62AF9">
        <w:t>it d</w:t>
      </w:r>
      <w:r w:rsidR="003F0FF9">
        <w:t xml:space="preserve">elegated too much authority to bankruptcy judges outside of </w:t>
      </w:r>
      <w:r w:rsidR="001550FE">
        <w:t>the A</w:t>
      </w:r>
      <w:r w:rsidR="003F0FF9">
        <w:t>rticle II</w:t>
      </w:r>
      <w:r w:rsidR="002627E4">
        <w:t>I framework.</w:t>
      </w:r>
      <w:bookmarkStart w:id="60" w:name="_Ref181480296"/>
      <w:r w:rsidR="002627E4" w:rsidRPr="00B053B5">
        <w:rPr>
          <w:rStyle w:val="NoteRefInText"/>
        </w:rPr>
        <w:footnoteReference w:id="193"/>
      </w:r>
      <w:bookmarkEnd w:id="60"/>
      <w:r w:rsidR="002627E4">
        <w:t xml:space="preserve"> </w:t>
      </w:r>
      <w:r w:rsidR="00D62AF9">
        <w:t xml:space="preserve">That is to say, the Court found </w:t>
      </w:r>
      <w:r w:rsidR="00A57FC8">
        <w:t xml:space="preserve">the Act </w:t>
      </w:r>
      <w:r w:rsidR="00D62AF9">
        <w:t>went to</w:t>
      </w:r>
      <w:r w:rsidR="00A57FC8">
        <w:t>o</w:t>
      </w:r>
      <w:r w:rsidR="00D62AF9">
        <w:t xml:space="preserve"> far to strip the Judicial Branch of power and re</w:t>
      </w:r>
      <w:r w:rsidR="00D73909">
        <w:t>al</w:t>
      </w:r>
      <w:r w:rsidR="00D62AF9">
        <w:t xml:space="preserve">locate </w:t>
      </w:r>
      <w:r w:rsidR="00A57FC8">
        <w:t xml:space="preserve">that power </w:t>
      </w:r>
      <w:r w:rsidR="00D62AF9">
        <w:t xml:space="preserve">among the other branches. </w:t>
      </w:r>
    </w:p>
    <w:p w14:paraId="47468643" w14:textId="2895FD16" w:rsidR="00673F19" w:rsidRDefault="002627E4" w:rsidP="00695136">
      <w:pPr>
        <w:pStyle w:val="Document"/>
      </w:pPr>
      <w:r>
        <w:t>With this decision, the Court</w:t>
      </w:r>
      <w:r w:rsidR="006D3942" w:rsidRPr="006A1AF4">
        <w:t xml:space="preserve"> </w:t>
      </w:r>
      <w:r w:rsidR="00637BFD">
        <w:t xml:space="preserve">took back much of the power that had been stripped from </w:t>
      </w:r>
      <w:r w:rsidR="0014356F">
        <w:t xml:space="preserve">it </w:t>
      </w:r>
      <w:r w:rsidR="00637BFD">
        <w:t xml:space="preserve">and </w:t>
      </w:r>
      <w:r w:rsidR="006D3942" w:rsidRPr="006A1AF4">
        <w:t>forced Congress to return to the drawing board</w:t>
      </w:r>
      <w:r w:rsidR="003F0FF9">
        <w:t>.</w:t>
      </w:r>
      <w:r w:rsidR="003F0FF9" w:rsidRPr="00B053B5">
        <w:rPr>
          <w:rStyle w:val="NoteRefInText"/>
        </w:rPr>
        <w:footnoteReference w:id="194"/>
      </w:r>
      <w:r w:rsidR="003F0FF9">
        <w:t xml:space="preserve"> </w:t>
      </w:r>
      <w:r w:rsidR="00D31623">
        <w:t xml:space="preserve">Briefly, Congress even considered making bankruptcy judges full </w:t>
      </w:r>
      <w:r w:rsidR="001550FE">
        <w:t>A</w:t>
      </w:r>
      <w:r w:rsidR="00D31623">
        <w:t>rticle III judges</w:t>
      </w:r>
      <w:r w:rsidR="00090501">
        <w:t xml:space="preserve"> as had been proposed prior to the 1978 Act</w:t>
      </w:r>
      <w:r w:rsidR="002F56FE">
        <w:t>—</w:t>
      </w:r>
      <w:r w:rsidR="00192268">
        <w:t>a move that would have allowed them to retain control over appointments.</w:t>
      </w:r>
      <w:bookmarkStart w:id="61" w:name="_Ref181542015"/>
      <w:r w:rsidR="00090501" w:rsidRPr="00B053B5">
        <w:rPr>
          <w:rStyle w:val="NoteRefInText"/>
        </w:rPr>
        <w:footnoteReference w:id="195"/>
      </w:r>
      <w:bookmarkEnd w:id="61"/>
      <w:r w:rsidR="001550FE">
        <w:t xml:space="preserve"> </w:t>
      </w:r>
      <w:r w:rsidR="0014356F">
        <w:t xml:space="preserve">Instead, </w:t>
      </w:r>
      <w:r w:rsidR="00250459">
        <w:t xml:space="preserve">Congress </w:t>
      </w:r>
      <w:r w:rsidR="006D3942" w:rsidRPr="006A1AF4">
        <w:t>reach</w:t>
      </w:r>
      <w:r w:rsidR="00250459">
        <w:t>ed</w:t>
      </w:r>
      <w:r w:rsidR="006D3942" w:rsidRPr="006A1AF4">
        <w:t xml:space="preserve"> a final </w:t>
      </w:r>
      <w:r w:rsidR="00EB5B66">
        <w:t xml:space="preserve">decision </w:t>
      </w:r>
      <w:r w:rsidR="006D3942" w:rsidRPr="006A1AF4">
        <w:t xml:space="preserve">on appointments that left the U.S. Courts of Appeals </w:t>
      </w:r>
      <w:r w:rsidR="00181D7D">
        <w:t xml:space="preserve">with </w:t>
      </w:r>
      <w:r w:rsidR="006D3942" w:rsidRPr="006A1AF4">
        <w:t>control over the process</w:t>
      </w:r>
      <w:r w:rsidR="00363B22">
        <w:t xml:space="preserve"> and established an Article I bankruptcy court </w:t>
      </w:r>
      <w:r w:rsidR="00363B22">
        <w:lastRenderedPageBreak/>
        <w:t>through the</w:t>
      </w:r>
      <w:r w:rsidR="004747D3" w:rsidRPr="004747D3">
        <w:t xml:space="preserve"> Bankruptcy Amendments and Federal Judgeship Act of 1984</w:t>
      </w:r>
      <w:r w:rsidR="00A57FC8">
        <w:t>.</w:t>
      </w:r>
      <w:r w:rsidR="00A57FC8" w:rsidRPr="00B053B5">
        <w:rPr>
          <w:rStyle w:val="NoteRefInText"/>
        </w:rPr>
        <w:footnoteReference w:id="196"/>
      </w:r>
      <w:r w:rsidR="00B93B4F">
        <w:t xml:space="preserve"> </w:t>
      </w:r>
      <w:r w:rsidR="00BE5F52" w:rsidRPr="00920DCF">
        <w:t>Formally</w:t>
      </w:r>
      <w:r w:rsidR="006D2975" w:rsidRPr="00920DCF">
        <w:t xml:space="preserve"> the </w:t>
      </w:r>
      <w:r w:rsidR="00A57FC8" w:rsidRPr="00920DCF">
        <w:t xml:space="preserve">new bankruptcy courts were </w:t>
      </w:r>
      <w:r w:rsidR="00C34EEB" w:rsidRPr="00920DCF">
        <w:t xml:space="preserve">to be </w:t>
      </w:r>
      <w:r w:rsidR="00B93B4F" w:rsidRPr="00920DCF">
        <w:t>house</w:t>
      </w:r>
      <w:r w:rsidR="001550FE" w:rsidRPr="00920DCF">
        <w:t>d</w:t>
      </w:r>
      <w:r w:rsidR="00B93B4F" w:rsidRPr="00920DCF">
        <w:t xml:space="preserve"> under the district courts</w:t>
      </w:r>
      <w:r w:rsidR="00A57FC8" w:rsidRPr="00920DCF">
        <w:t xml:space="preserve">, </w:t>
      </w:r>
      <w:r w:rsidR="006C39F3" w:rsidRPr="00920DCF">
        <w:t xml:space="preserve">but </w:t>
      </w:r>
      <w:r w:rsidR="0026680C" w:rsidRPr="00920DCF">
        <w:t xml:space="preserve">the </w:t>
      </w:r>
      <w:r w:rsidR="001F224C" w:rsidRPr="00920DCF">
        <w:t>bankruptcy judges</w:t>
      </w:r>
      <w:r w:rsidR="00350C7C" w:rsidRPr="00920DCF">
        <w:t xml:space="preserve"> still </w:t>
      </w:r>
      <w:r w:rsidR="005F6235" w:rsidRPr="00920DCF">
        <w:t xml:space="preserve">retained greater independence </w:t>
      </w:r>
      <w:r w:rsidR="004A104E" w:rsidRPr="00920DCF">
        <w:t xml:space="preserve">through </w:t>
      </w:r>
      <w:r w:rsidR="00CC5BA3" w:rsidRPr="00920DCF">
        <w:t>abolishing the</w:t>
      </w:r>
      <w:r w:rsidR="005F6235" w:rsidRPr="00920DCF">
        <w:t xml:space="preserve"> previous </w:t>
      </w:r>
      <w:r w:rsidR="00C11898" w:rsidRPr="00920DCF">
        <w:t xml:space="preserve">system </w:t>
      </w:r>
      <w:r w:rsidR="009F2324" w:rsidRPr="00920DCF">
        <w:t>of</w:t>
      </w:r>
      <w:r w:rsidR="00355B65" w:rsidRPr="00920DCF">
        <w:t xml:space="preserve"> </w:t>
      </w:r>
      <w:r w:rsidR="00C11898" w:rsidRPr="00920DCF">
        <w:t>appoint</w:t>
      </w:r>
      <w:r w:rsidR="0026680C" w:rsidRPr="00920DCF">
        <w:t>ment</w:t>
      </w:r>
      <w:r w:rsidR="00C11898" w:rsidRPr="00920DCF">
        <w:t xml:space="preserve"> by </w:t>
      </w:r>
      <w:r w:rsidR="0026680C" w:rsidRPr="00920DCF">
        <w:t xml:space="preserve">the </w:t>
      </w:r>
      <w:r w:rsidR="00C11898" w:rsidRPr="00920DCF">
        <w:t>district courts</w:t>
      </w:r>
      <w:r w:rsidR="001550FE" w:rsidRPr="00A13608">
        <w:t>.</w:t>
      </w:r>
      <w:bookmarkStart w:id="62" w:name="_Ref177480479"/>
      <w:r w:rsidR="006D3942" w:rsidRPr="00A13608">
        <w:rPr>
          <w:rStyle w:val="NoteRefInText"/>
        </w:rPr>
        <w:footnoteReference w:id="197"/>
      </w:r>
      <w:bookmarkEnd w:id="62"/>
      <w:r w:rsidR="006D3942" w:rsidRPr="006A1AF4">
        <w:t xml:space="preserve"> </w:t>
      </w:r>
    </w:p>
    <w:p w14:paraId="69EEE70C" w14:textId="409BB870" w:rsidR="006D3942" w:rsidRPr="006D3942" w:rsidRDefault="003D3464" w:rsidP="00695136">
      <w:pPr>
        <w:pStyle w:val="Document"/>
      </w:pPr>
      <w:r>
        <w:t xml:space="preserve">In this sense, </w:t>
      </w:r>
      <w:r w:rsidR="0042734F">
        <w:t xml:space="preserve">some of </w:t>
      </w:r>
      <w:r>
        <w:t xml:space="preserve">Congress’s efforts to reallocate power </w:t>
      </w:r>
      <w:r w:rsidR="004E0924">
        <w:t>were</w:t>
      </w:r>
      <w:r>
        <w:t xml:space="preserve"> ultimately unsuccessful</w:t>
      </w:r>
      <w:r w:rsidR="0042734F">
        <w:t>.</w:t>
      </w:r>
      <w:r>
        <w:t xml:space="preserve"> However, a</w:t>
      </w:r>
      <w:r w:rsidR="006D3942" w:rsidRPr="006A1AF4">
        <w:t xml:space="preserve">lthough the judiciary was able to retake </w:t>
      </w:r>
      <w:r w:rsidR="005F2745">
        <w:t>ground</w:t>
      </w:r>
      <w:r w:rsidR="006D3942" w:rsidRPr="006A1AF4">
        <w:t xml:space="preserve"> in its fight against the creation of an independent bankruptcy court under Article I by retaining </w:t>
      </w:r>
      <w:r w:rsidR="0042734F">
        <w:t xml:space="preserve">the </w:t>
      </w:r>
      <w:r w:rsidR="006D3942" w:rsidRPr="006A1AF4">
        <w:t>power of appointments</w:t>
      </w:r>
      <w:r w:rsidR="00E71210">
        <w:t xml:space="preserve"> through an altered process</w:t>
      </w:r>
      <w:r w:rsidR="006D3942" w:rsidRPr="006A1AF4">
        <w:t xml:space="preserve">, </w:t>
      </w:r>
      <w:r w:rsidR="006A2A68">
        <w:t xml:space="preserve">other </w:t>
      </w:r>
      <w:r w:rsidR="006D3942" w:rsidRPr="006A1AF4">
        <w:t>aspects of the independent Article I bankruptcy court remained the same</w:t>
      </w:r>
      <w:r w:rsidR="001550FE">
        <w:t>,</w:t>
      </w:r>
      <w:r w:rsidR="00673F19">
        <w:t xml:space="preserve"> and </w:t>
      </w:r>
      <w:r w:rsidR="00665C0B">
        <w:t xml:space="preserve">control over </w:t>
      </w:r>
      <w:r w:rsidR="00673F19">
        <w:t xml:space="preserve">bankruptcy </w:t>
      </w:r>
      <w:r w:rsidR="00AF1409">
        <w:t xml:space="preserve">was </w:t>
      </w:r>
      <w:r w:rsidR="008B361F">
        <w:t xml:space="preserve">eventually </w:t>
      </w:r>
      <w:r w:rsidR="00AF1409">
        <w:t xml:space="preserve">shifted out </w:t>
      </w:r>
      <w:r w:rsidR="00673F19">
        <w:t>from under the</w:t>
      </w:r>
      <w:r w:rsidR="00665C0B">
        <w:t xml:space="preserve"> near</w:t>
      </w:r>
      <w:r w:rsidR="00673F19">
        <w:t xml:space="preserve"> </w:t>
      </w:r>
      <w:r w:rsidR="00AF1409">
        <w:t xml:space="preserve">complete </w:t>
      </w:r>
      <w:r w:rsidR="00673F19">
        <w:t>control</w:t>
      </w:r>
      <w:r w:rsidR="00687ECE">
        <w:t xml:space="preserve"> of referees and district court judges</w:t>
      </w:r>
      <w:r w:rsidR="0002631C">
        <w:t>—</w:t>
      </w:r>
      <w:r w:rsidR="00660701">
        <w:t xml:space="preserve">albeit </w:t>
      </w:r>
      <w:r w:rsidR="005F6235">
        <w:t>not to the extent that Congress had initially desired</w:t>
      </w:r>
      <w:r w:rsidR="00547E9A">
        <w:t>.</w:t>
      </w:r>
      <w:r w:rsidR="00547E9A" w:rsidRPr="00B053B5">
        <w:rPr>
          <w:rStyle w:val="NoteRefInText"/>
        </w:rPr>
        <w:footnoteReference w:id="198"/>
      </w:r>
      <w:r w:rsidR="006D3942" w:rsidRPr="006A1AF4">
        <w:t xml:space="preserve"> </w:t>
      </w:r>
      <w:r w:rsidR="002C5DC2">
        <w:t xml:space="preserve">This push and pull between the branches </w:t>
      </w:r>
      <w:r w:rsidR="008A11FA">
        <w:t xml:space="preserve">showcased </w:t>
      </w:r>
      <w:r w:rsidR="007C15CA">
        <w:t xml:space="preserve">moments where </w:t>
      </w:r>
      <w:r w:rsidR="00660701">
        <w:t xml:space="preserve">governmental </w:t>
      </w:r>
      <w:r w:rsidR="007C15CA">
        <w:t>power ebbed and flowed</w:t>
      </w:r>
      <w:r w:rsidR="008B361F">
        <w:t>.</w:t>
      </w:r>
      <w:r w:rsidR="002F27C9">
        <w:t xml:space="preserve"> </w:t>
      </w:r>
      <w:r w:rsidR="008B361F">
        <w:t>A</w:t>
      </w:r>
      <w:r w:rsidR="002F27C9">
        <w:t xml:space="preserve">nd even significant efforts by Congress to enact new legislation were not sufficient to </w:t>
      </w:r>
      <w:r w:rsidR="008B361F">
        <w:t xml:space="preserve">completely </w:t>
      </w:r>
      <w:r w:rsidR="002448B6">
        <w:t xml:space="preserve">reallocate power over bankruptcy in the way that the political branches desired. </w:t>
      </w:r>
    </w:p>
    <w:p w14:paraId="65B0C8DB" w14:textId="55CCCA8A" w:rsidR="006D3942" w:rsidRPr="006D3942" w:rsidRDefault="008A11FA" w:rsidP="00695136">
      <w:pPr>
        <w:pStyle w:val="Document"/>
      </w:pPr>
      <w:r>
        <w:t xml:space="preserve">Even so, </w:t>
      </w:r>
      <w:r w:rsidR="00F922A2">
        <w:t xml:space="preserve">some reallocation of power ultimately did occur through this process of compromise. </w:t>
      </w:r>
      <w:r w:rsidR="0046481C">
        <w:t xml:space="preserve">But this set of compromises was made possible by </w:t>
      </w:r>
      <w:r w:rsidR="00740A4E">
        <w:t xml:space="preserve">not only </w:t>
      </w:r>
      <w:r w:rsidR="0046481C">
        <w:t xml:space="preserve">focusing on increasing the decisional independence of </w:t>
      </w:r>
      <w:r w:rsidR="00740A4E">
        <w:t>bankruptcy</w:t>
      </w:r>
      <w:r w:rsidR="0046481C">
        <w:t xml:space="preserve"> </w:t>
      </w:r>
      <w:r w:rsidR="00660701">
        <w:t>adjudications but</w:t>
      </w:r>
      <w:r w:rsidR="00740A4E">
        <w:t xml:space="preserve"> also appealing to the desire of the other branches of government to exercise control themselves and creating opportunities for them to do so</w:t>
      </w:r>
      <w:r w:rsidR="008A0BDF">
        <w:t xml:space="preserve">. </w:t>
      </w:r>
      <w:r w:rsidR="006D3942" w:rsidRPr="006D3942">
        <w:t xml:space="preserve">Specifically, the set of compromises reflected </w:t>
      </w:r>
      <w:r w:rsidR="00B04457">
        <w:t>a serious and concerted effort</w:t>
      </w:r>
      <w:r w:rsidR="006D3942" w:rsidRPr="006D3942">
        <w:t xml:space="preserve"> between </w:t>
      </w:r>
      <w:r w:rsidR="00A801FD">
        <w:t xml:space="preserve">the </w:t>
      </w:r>
      <w:r w:rsidR="006D3942" w:rsidRPr="006D3942">
        <w:t xml:space="preserve">political branches to shift the power of bankruptcy away from the judiciary into an intermediary place between the three branches of government </w:t>
      </w:r>
      <w:r w:rsidR="00144E82">
        <w:t xml:space="preserve">by promoting </w:t>
      </w:r>
      <w:r w:rsidR="006D3942" w:rsidRPr="006D3942">
        <w:t xml:space="preserve">the attractiveness of the plan to </w:t>
      </w:r>
      <w:r w:rsidR="00144E82">
        <w:t xml:space="preserve">the judiciary, </w:t>
      </w:r>
      <w:r w:rsidR="006D3942" w:rsidRPr="006D3942">
        <w:t>Congress</w:t>
      </w:r>
      <w:r w:rsidR="00144E82">
        <w:t>,</w:t>
      </w:r>
      <w:r w:rsidR="006D3942" w:rsidRPr="006D3942">
        <w:t xml:space="preserve"> and the President.</w:t>
      </w:r>
    </w:p>
    <w:p w14:paraId="033FF6A9" w14:textId="3B5A9920" w:rsidR="006D3942" w:rsidRPr="006D3942" w:rsidRDefault="003A10C0" w:rsidP="00695136">
      <w:pPr>
        <w:pStyle w:val="Head1"/>
      </w:pPr>
      <w:bookmarkStart w:id="63" w:name="_Toc173015251"/>
      <w:bookmarkStart w:id="64" w:name="_Toc191465199"/>
      <w:r>
        <w:t>IV.</w:t>
      </w:r>
      <w:r>
        <w:tab/>
      </w:r>
      <w:r w:rsidR="006D3942" w:rsidRPr="006D3942">
        <w:t xml:space="preserve">Shifting </w:t>
      </w:r>
      <w:r w:rsidR="002561A4">
        <w:t xml:space="preserve">to a Separation of Powers </w:t>
      </w:r>
      <w:r w:rsidR="005C3A0E">
        <w:t>Narrative</w:t>
      </w:r>
      <w:bookmarkEnd w:id="63"/>
      <w:bookmarkEnd w:id="64"/>
    </w:p>
    <w:p w14:paraId="7AB4BF69" w14:textId="0CDC01CC" w:rsidR="00F324E8" w:rsidRPr="006D3942" w:rsidRDefault="006D3942" w:rsidP="00695136">
      <w:pPr>
        <w:pStyle w:val="Document"/>
      </w:pPr>
      <w:r w:rsidRPr="006D3942">
        <w:t>A historical analysis of the creation of the modern U.S. bankruptcy courts demonstrates that</w:t>
      </w:r>
      <w:r w:rsidR="00F41CC8">
        <w:t xml:space="preserve"> the</w:t>
      </w:r>
      <w:r w:rsidRPr="006D3942">
        <w:t xml:space="preserve"> </w:t>
      </w:r>
      <w:r w:rsidR="00A032CA">
        <w:t xml:space="preserve">path to achieving </w:t>
      </w:r>
      <w:r w:rsidRPr="006D3942">
        <w:t>court reform</w:t>
      </w:r>
      <w:r w:rsidR="00A032CA">
        <w:t xml:space="preserve"> may require</w:t>
      </w:r>
      <w:r w:rsidRPr="006D3942">
        <w:t xml:space="preserve"> more than public outrage and</w:t>
      </w:r>
      <w:r w:rsidR="00227125">
        <w:t xml:space="preserve"> the</w:t>
      </w:r>
      <w:r w:rsidRPr="006D3942">
        <w:t xml:space="preserve"> </w:t>
      </w:r>
      <w:r w:rsidR="00660701">
        <w:t xml:space="preserve">pursuit of a </w:t>
      </w:r>
      <w:r w:rsidRPr="006D3942">
        <w:t xml:space="preserve">more just and independent immigration system. </w:t>
      </w:r>
      <w:r w:rsidR="00E92CAB">
        <w:t xml:space="preserve">A </w:t>
      </w:r>
      <w:r w:rsidRPr="006D3942">
        <w:t xml:space="preserve">difficult challenge to reforming the system is stripping power from one branch of government when that branch, unsurprisingly, is reluctant to give up that power. </w:t>
      </w:r>
      <w:r w:rsidR="00B4402E">
        <w:t>The</w:t>
      </w:r>
      <w:r w:rsidR="00AF7627" w:rsidRPr="006D3942">
        <w:t xml:space="preserve"> comparative analysis of </w:t>
      </w:r>
      <w:r w:rsidR="00EA7449">
        <w:t xml:space="preserve">bankruptcy and immigration </w:t>
      </w:r>
      <w:r w:rsidR="00AF7627" w:rsidRPr="006D3942">
        <w:t>indicates that bankruptcy adjudication prior to 1978</w:t>
      </w:r>
      <w:r w:rsidR="00EA7449">
        <w:t>, like</w:t>
      </w:r>
      <w:r w:rsidR="00B4402E">
        <w:t xml:space="preserve"> the</w:t>
      </w:r>
      <w:r w:rsidR="00EA7449">
        <w:t xml:space="preserve"> immigration courts of today, were</w:t>
      </w:r>
      <w:r w:rsidR="00AF7627" w:rsidRPr="006D3942">
        <w:t xml:space="preserve"> plagued by systemic concerns</w:t>
      </w:r>
      <w:r w:rsidR="00AF7627">
        <w:t xml:space="preserve"> rooted in control by a singular branch of government</w:t>
      </w:r>
      <w:r w:rsidR="00AF7627" w:rsidRPr="006D3942">
        <w:t>.</w:t>
      </w:r>
      <w:r w:rsidR="00AF7627">
        <w:t xml:space="preserve"> </w:t>
      </w:r>
      <w:r w:rsidR="00F324E8" w:rsidRPr="006D3942">
        <w:t xml:space="preserve">The real </w:t>
      </w:r>
      <w:r w:rsidR="00F324E8" w:rsidRPr="006D3942">
        <w:lastRenderedPageBreak/>
        <w:t xml:space="preserve">divergence between these two models lies in the difference between Congress and the courts stripping power from the </w:t>
      </w:r>
      <w:r w:rsidR="00F324E8">
        <w:rPr>
          <w:i/>
          <w:iCs/>
        </w:rPr>
        <w:t>E</w:t>
      </w:r>
      <w:r w:rsidR="00F324E8" w:rsidRPr="006D3942">
        <w:rPr>
          <w:i/>
          <w:iCs/>
        </w:rPr>
        <w:t>xecutive</w:t>
      </w:r>
      <w:r w:rsidR="00F324E8" w:rsidRPr="006D3942">
        <w:t xml:space="preserve"> </w:t>
      </w:r>
      <w:r w:rsidR="00F324E8">
        <w:t>B</w:t>
      </w:r>
      <w:r w:rsidR="00F324E8" w:rsidRPr="006D3942">
        <w:t xml:space="preserve">ranch in immigration compared to Congress and the </w:t>
      </w:r>
      <w:r w:rsidR="00F324E8">
        <w:t>P</w:t>
      </w:r>
      <w:r w:rsidR="00F324E8" w:rsidRPr="006D3942">
        <w:t xml:space="preserve">resident stripping power from the </w:t>
      </w:r>
      <w:r w:rsidR="00A57FC8">
        <w:rPr>
          <w:i/>
          <w:iCs/>
        </w:rPr>
        <w:t xml:space="preserve">Judicial </w:t>
      </w:r>
      <w:r w:rsidR="00A57FC8">
        <w:t>Branch</w:t>
      </w:r>
      <w:r w:rsidR="00A57FC8" w:rsidRPr="006D3942">
        <w:t xml:space="preserve"> </w:t>
      </w:r>
      <w:r w:rsidR="00F324E8" w:rsidRPr="006D3942">
        <w:t>in bankruptcy</w:t>
      </w:r>
      <w:r w:rsidR="001B5925">
        <w:t xml:space="preserve">. Yet, </w:t>
      </w:r>
      <w:r w:rsidR="003E1A82">
        <w:t xml:space="preserve">even </w:t>
      </w:r>
      <w:r w:rsidR="001B5925">
        <w:t xml:space="preserve">acknowledging this difference, </w:t>
      </w:r>
      <w:r w:rsidR="00F324E8">
        <w:t>w</w:t>
      </w:r>
      <w:r w:rsidRPr="006D3942">
        <w:t xml:space="preserve">hat the bankruptcy analogy reveals is that creating this type of systemic reform when one branch has acquired and maintained control </w:t>
      </w:r>
      <w:r w:rsidR="00237AF3">
        <w:t xml:space="preserve">in an area </w:t>
      </w:r>
      <w:r w:rsidRPr="006D3942">
        <w:t xml:space="preserve">requires a concerted effort by </w:t>
      </w:r>
      <w:r w:rsidR="00A801FD">
        <w:t xml:space="preserve">the </w:t>
      </w:r>
      <w:r w:rsidRPr="006D3942">
        <w:t>other two branches of government to shift the balance of that power towards their own substantive interests</w:t>
      </w:r>
      <w:r w:rsidR="00A90BF9">
        <w:t xml:space="preserve"> </w:t>
      </w:r>
      <w:r w:rsidR="00D37E7D">
        <w:t xml:space="preserve">through </w:t>
      </w:r>
      <w:r w:rsidR="00A90BF9">
        <w:t>significant compromise</w:t>
      </w:r>
      <w:r w:rsidR="001550FE">
        <w:t xml:space="preserve">. </w:t>
      </w:r>
    </w:p>
    <w:p w14:paraId="50B8ADAD" w14:textId="25B9AB5C" w:rsidR="005C718A" w:rsidRDefault="00F324E8" w:rsidP="00695136">
      <w:pPr>
        <w:pStyle w:val="Document"/>
      </w:pPr>
      <w:r>
        <w:t xml:space="preserve">The </w:t>
      </w:r>
      <w:r w:rsidR="006D3942" w:rsidRPr="006D3942">
        <w:t xml:space="preserve">history of bankruptcy shows that </w:t>
      </w:r>
      <w:r w:rsidR="00A801FD">
        <w:t xml:space="preserve">for </w:t>
      </w:r>
      <w:r w:rsidR="006D3942" w:rsidRPr="006D3942">
        <w:t xml:space="preserve">the other branches of government to </w:t>
      </w:r>
      <w:r w:rsidR="00A801FD">
        <w:t xml:space="preserve">be convinced to </w:t>
      </w:r>
      <w:r w:rsidR="006D3942" w:rsidRPr="006D3942">
        <w:t xml:space="preserve">take radical action, the actors within those other branches must believe </w:t>
      </w:r>
      <w:r w:rsidR="006D3942" w:rsidRPr="00121B71">
        <w:t xml:space="preserve">that they stand </w:t>
      </w:r>
      <w:r w:rsidR="00A801FD" w:rsidRPr="00121B71">
        <w:t xml:space="preserve">to gain </w:t>
      </w:r>
      <w:r w:rsidR="006D3942" w:rsidRPr="00121B71">
        <w:t xml:space="preserve">something material from </w:t>
      </w:r>
      <w:r w:rsidR="008B361F">
        <w:t xml:space="preserve">such </w:t>
      </w:r>
      <w:r w:rsidR="006D3942" w:rsidRPr="00121B71">
        <w:t xml:space="preserve">reform. For example, in the bankruptcy context, court reform was possible </w:t>
      </w:r>
      <w:r w:rsidR="008B361F">
        <w:t xml:space="preserve">only </w:t>
      </w:r>
      <w:r w:rsidR="006D3942" w:rsidRPr="00121B71">
        <w:t xml:space="preserve">through a set of </w:t>
      </w:r>
      <w:r w:rsidR="009768AB">
        <w:t xml:space="preserve">ongoing </w:t>
      </w:r>
      <w:r w:rsidR="006D3942" w:rsidRPr="00121B71">
        <w:t xml:space="preserve">compromises with </w:t>
      </w:r>
      <w:r w:rsidR="00A801FD" w:rsidRPr="00121B71">
        <w:t xml:space="preserve">the </w:t>
      </w:r>
      <w:r w:rsidR="006D3942" w:rsidRPr="00121B71">
        <w:t>judiciary</w:t>
      </w:r>
      <w:r w:rsidR="00AF19EA" w:rsidRPr="001550FE">
        <w:t xml:space="preserve">. </w:t>
      </w:r>
      <w:r w:rsidR="009768AB">
        <w:t>But the essential draw of r</w:t>
      </w:r>
      <w:r w:rsidR="00A801FD" w:rsidRPr="00121B71">
        <w:t xml:space="preserve">eform </w:t>
      </w:r>
      <w:r w:rsidR="00D37E7D">
        <w:t>wa</w:t>
      </w:r>
      <w:r w:rsidR="009768AB">
        <w:t xml:space="preserve">s that it </w:t>
      </w:r>
      <w:r w:rsidR="006D3942" w:rsidRPr="00121B71">
        <w:t xml:space="preserve">ultimately increased the power of </w:t>
      </w:r>
      <w:r w:rsidR="00A801FD" w:rsidRPr="00121B71">
        <w:t xml:space="preserve">both </w:t>
      </w:r>
      <w:r w:rsidR="006D3942" w:rsidRPr="00121B71">
        <w:t xml:space="preserve">the </w:t>
      </w:r>
      <w:r w:rsidR="00A801FD" w:rsidRPr="00121B71">
        <w:t>E</w:t>
      </w:r>
      <w:r w:rsidR="006D3942" w:rsidRPr="00121B71">
        <w:t xml:space="preserve">xecutive and </w:t>
      </w:r>
      <w:r w:rsidR="00A801FD" w:rsidRPr="00121B71">
        <w:t>L</w:t>
      </w:r>
      <w:r w:rsidR="006D3942" w:rsidRPr="00121B71">
        <w:t xml:space="preserve">egislative </w:t>
      </w:r>
      <w:r w:rsidR="00A801FD" w:rsidRPr="00121B71">
        <w:t>B</w:t>
      </w:r>
      <w:r w:rsidR="006D3942" w:rsidRPr="00121B71">
        <w:t>ranch</w:t>
      </w:r>
      <w:r w:rsidR="00A801FD" w:rsidRPr="00121B71">
        <w:t>es</w:t>
      </w:r>
      <w:r w:rsidR="006D3942" w:rsidRPr="00121B71">
        <w:t xml:space="preserve"> to exert influence over the new bankruptcy court judges</w:t>
      </w:r>
      <w:r w:rsidR="006D3942" w:rsidRPr="006D3942">
        <w:t>.</w:t>
      </w:r>
      <w:r w:rsidR="006D3942" w:rsidRPr="006D3942">
        <w:rPr>
          <w:rStyle w:val="NoteRefInText"/>
        </w:rPr>
        <w:footnoteReference w:id="199"/>
      </w:r>
      <w:r w:rsidR="006D3942" w:rsidRPr="006D3942">
        <w:t xml:space="preserve"> Thus, </w:t>
      </w:r>
      <w:r w:rsidR="00A57FC8">
        <w:t>this Note</w:t>
      </w:r>
      <w:r w:rsidR="006D3942" w:rsidRPr="006D3942">
        <w:t xml:space="preserve"> suggest</w:t>
      </w:r>
      <w:r w:rsidR="00A57FC8">
        <w:t>s</w:t>
      </w:r>
      <w:r w:rsidR="006D3942" w:rsidRPr="006D3942">
        <w:t xml:space="preserve"> that a similar effort to shift the balance of power and appeal to the </w:t>
      </w:r>
      <w:r w:rsidR="00A801FD">
        <w:t>L</w:t>
      </w:r>
      <w:r w:rsidR="006D3942" w:rsidRPr="006D3942">
        <w:t xml:space="preserve">egislative and </w:t>
      </w:r>
      <w:r w:rsidR="00A801FD">
        <w:t>J</w:t>
      </w:r>
      <w:r w:rsidR="006D3942" w:rsidRPr="006D3942">
        <w:t xml:space="preserve">udicial </w:t>
      </w:r>
      <w:r w:rsidR="00A57FC8">
        <w:t>B</w:t>
      </w:r>
      <w:r w:rsidR="006D3942" w:rsidRPr="006D3942">
        <w:t xml:space="preserve">ranches </w:t>
      </w:r>
      <w:r w:rsidR="008B361F">
        <w:t xml:space="preserve">is most likely required </w:t>
      </w:r>
      <w:r w:rsidR="006D3942" w:rsidRPr="006D3942">
        <w:t xml:space="preserve">to successfully strip the </w:t>
      </w:r>
      <w:r w:rsidR="002D730A">
        <w:t>E</w:t>
      </w:r>
      <w:r w:rsidR="006D3942" w:rsidRPr="006D3942">
        <w:t xml:space="preserve">xecutive </w:t>
      </w:r>
      <w:r w:rsidR="002D730A">
        <w:t>B</w:t>
      </w:r>
      <w:r w:rsidR="006D3942" w:rsidRPr="006D3942">
        <w:t xml:space="preserve">ranch of some of its control over immigration law while still reaching a reasonable compromise with the </w:t>
      </w:r>
      <w:r w:rsidR="002D730A">
        <w:t>E</w:t>
      </w:r>
      <w:r w:rsidR="006D3942" w:rsidRPr="006D3942">
        <w:t xml:space="preserve">xecutive </w:t>
      </w:r>
      <w:r w:rsidR="002D730A">
        <w:t>B</w:t>
      </w:r>
      <w:r w:rsidR="006D3942" w:rsidRPr="006D3942">
        <w:t>ranch</w:t>
      </w:r>
      <w:r w:rsidR="00EA475E">
        <w:t xml:space="preserve"> so as to avoid </w:t>
      </w:r>
      <w:r w:rsidR="00A356E1">
        <w:t>the Executive Branch’s attempts at retaking power.</w:t>
      </w:r>
    </w:p>
    <w:p w14:paraId="0848C206" w14:textId="2A678AC7" w:rsidR="0013377A" w:rsidRDefault="005C718A" w:rsidP="00695136">
      <w:pPr>
        <w:pStyle w:val="Document"/>
      </w:pPr>
      <w:r w:rsidRPr="006D3942">
        <w:t>Like what occurred in bankruptcy, the only way to achieve such a result is to expand effort</w:t>
      </w:r>
      <w:r>
        <w:t>s</w:t>
      </w:r>
      <w:r w:rsidRPr="006D3942">
        <w:t xml:space="preserve"> by reformers to convince both Congress and the courts that they stand to gain substantial power over immigration law.</w:t>
      </w:r>
      <w:r>
        <w:t xml:space="preserve"> </w:t>
      </w:r>
      <w:r w:rsidR="0013377A" w:rsidRPr="006D3942">
        <w:t xml:space="preserve">Recognizing these similarities only further confirms that the creation of an Article I </w:t>
      </w:r>
      <w:r w:rsidR="00A57FC8">
        <w:t>i</w:t>
      </w:r>
      <w:r w:rsidR="0013377A" w:rsidRPr="006D3942">
        <w:t xml:space="preserve">mmigration </w:t>
      </w:r>
      <w:r w:rsidR="00A57FC8">
        <w:t>c</w:t>
      </w:r>
      <w:r w:rsidR="0013377A" w:rsidRPr="006D3942">
        <w:t xml:space="preserve">ourt is a </w:t>
      </w:r>
      <w:r w:rsidR="0013377A">
        <w:t xml:space="preserve">potentially </w:t>
      </w:r>
      <w:r w:rsidR="0013377A" w:rsidRPr="006D3942">
        <w:t>viable</w:t>
      </w:r>
      <w:r w:rsidR="00EB3DFA">
        <w:t>—</w:t>
      </w:r>
      <w:r w:rsidR="0013377A" w:rsidRPr="006D3942">
        <w:t>and historically informed</w:t>
      </w:r>
      <w:r w:rsidR="00EB3DFA">
        <w:t>—</w:t>
      </w:r>
      <w:r w:rsidR="0013377A" w:rsidRPr="006D3942">
        <w:t>solution to the major systemic issues facing immigration adjudication today.</w:t>
      </w:r>
    </w:p>
    <w:p w14:paraId="4A1408E4" w14:textId="3A53CFE0" w:rsidR="003109E7" w:rsidRPr="006D3942" w:rsidRDefault="00A7507A" w:rsidP="00695136">
      <w:pPr>
        <w:pStyle w:val="Head2"/>
      </w:pPr>
      <w:bookmarkStart w:id="65" w:name="_Toc191465200"/>
      <w:r>
        <w:rPr>
          <w:iCs/>
        </w:rPr>
        <w:t>A.</w:t>
      </w:r>
      <w:r>
        <w:rPr>
          <w:iCs/>
        </w:rPr>
        <w:tab/>
      </w:r>
      <w:r w:rsidR="00062899">
        <w:rPr>
          <w:iCs/>
        </w:rPr>
        <w:t xml:space="preserve">Appealing </w:t>
      </w:r>
      <w:r w:rsidR="00B65186">
        <w:rPr>
          <w:iCs/>
        </w:rPr>
        <w:t xml:space="preserve">to </w:t>
      </w:r>
      <w:r w:rsidR="000D61B9">
        <w:rPr>
          <w:iCs/>
        </w:rPr>
        <w:t>Each</w:t>
      </w:r>
      <w:r w:rsidR="00062899">
        <w:rPr>
          <w:iCs/>
        </w:rPr>
        <w:t xml:space="preserve"> Branch of Government</w:t>
      </w:r>
      <w:bookmarkEnd w:id="65"/>
      <w:r w:rsidR="00062899">
        <w:rPr>
          <w:iCs/>
        </w:rPr>
        <w:t xml:space="preserve"> </w:t>
      </w:r>
    </w:p>
    <w:p w14:paraId="0C0AB51E" w14:textId="3C5A967F" w:rsidR="006D3942" w:rsidRPr="006D3942" w:rsidRDefault="00D10650" w:rsidP="00695136">
      <w:pPr>
        <w:pStyle w:val="Document"/>
      </w:pPr>
      <w:r>
        <w:t>The path to creating a new immigration court system will require compromises and appeals to each branch</w:t>
      </w:r>
      <w:r w:rsidR="00EB3DFA">
        <w:t xml:space="preserve"> of government,</w:t>
      </w:r>
      <w:r>
        <w:t xml:space="preserve"> just as was required in the bankruptcy context. </w:t>
      </w:r>
      <w:r w:rsidR="006D3942" w:rsidRPr="006D3942">
        <w:t xml:space="preserve">The plan for an Article I </w:t>
      </w:r>
      <w:r w:rsidR="00A57FC8">
        <w:t>i</w:t>
      </w:r>
      <w:r w:rsidR="006D3942" w:rsidRPr="006D3942">
        <w:t xml:space="preserve">mmigration </w:t>
      </w:r>
      <w:r w:rsidR="00A57FC8">
        <w:t>c</w:t>
      </w:r>
      <w:r w:rsidR="006D3942" w:rsidRPr="006D3942">
        <w:t xml:space="preserve">ourt articulated in the Real Courts, Rule of Law Act would </w:t>
      </w:r>
      <w:r w:rsidR="00974D5E">
        <w:t xml:space="preserve">likely </w:t>
      </w:r>
      <w:r w:rsidR="006D3942" w:rsidRPr="006D3942">
        <w:t>appeal</w:t>
      </w:r>
      <w:r w:rsidR="00974D5E">
        <w:t xml:space="preserve"> </w:t>
      </w:r>
      <w:r w:rsidR="006D3942" w:rsidRPr="006D3942">
        <w:t xml:space="preserve">to actors within the </w:t>
      </w:r>
      <w:r w:rsidR="00A801FD">
        <w:t>J</w:t>
      </w:r>
      <w:r w:rsidR="006D3942" w:rsidRPr="006D3942">
        <w:t xml:space="preserve">udicial </w:t>
      </w:r>
      <w:r w:rsidR="00A801FD">
        <w:t>B</w:t>
      </w:r>
      <w:r w:rsidR="006D3942" w:rsidRPr="006D3942">
        <w:t>ranch who have long been calling for this change.</w:t>
      </w:r>
      <w:r w:rsidR="006D3942" w:rsidRPr="006D3942">
        <w:rPr>
          <w:rStyle w:val="NoteRefInText"/>
        </w:rPr>
        <w:footnoteReference w:id="200"/>
      </w:r>
      <w:r w:rsidR="006D3942" w:rsidRPr="006D3942">
        <w:t xml:space="preserve"> </w:t>
      </w:r>
      <w:r w:rsidR="00A801FD">
        <w:t xml:space="preserve">In </w:t>
      </w:r>
      <w:r w:rsidR="006D3942" w:rsidRPr="006D3942">
        <w:t xml:space="preserve">this new proposal, immigration judges would gain significantly more independence and prestige in their positions as Article I judges, thus providing </w:t>
      </w:r>
      <w:r w:rsidR="009469F6">
        <w:t xml:space="preserve">immigration </w:t>
      </w:r>
      <w:r w:rsidR="006D3942" w:rsidRPr="006D3942">
        <w:t xml:space="preserve">judges with strong incentives to endorse this </w:t>
      </w:r>
      <w:r w:rsidR="006D3942" w:rsidRPr="006D3942">
        <w:lastRenderedPageBreak/>
        <w:t>change.</w:t>
      </w:r>
      <w:r w:rsidR="006D3942" w:rsidRPr="006D3942">
        <w:rPr>
          <w:rStyle w:val="NoteRefInText"/>
        </w:rPr>
        <w:footnoteReference w:id="201"/>
      </w:r>
      <w:r w:rsidR="006D3942" w:rsidRPr="006D3942">
        <w:t xml:space="preserve"> </w:t>
      </w:r>
      <w:r w:rsidR="009469F6">
        <w:t>But how might that impact federal judges</w:t>
      </w:r>
      <w:r w:rsidR="00824CE7">
        <w:t>, and their own power within the system? A</w:t>
      </w:r>
      <w:r w:rsidR="006D3942" w:rsidRPr="006D3942">
        <w:t xml:space="preserve">ppeals to the increased ability for judicial review </w:t>
      </w:r>
      <w:r w:rsidR="00974D5E">
        <w:t>by federal judges would likely</w:t>
      </w:r>
      <w:r w:rsidR="00974D5E" w:rsidRPr="006D3942">
        <w:t xml:space="preserve"> </w:t>
      </w:r>
      <w:r w:rsidR="006D3942" w:rsidRPr="006D3942">
        <w:t>be a successful tactic</w:t>
      </w:r>
      <w:r w:rsidR="00974D5E">
        <w:t xml:space="preserve"> in persuading the judiciary of the value of reform</w:t>
      </w:r>
      <w:r w:rsidR="006D3942" w:rsidRPr="006D3942">
        <w:t xml:space="preserve">. Judges of Article III courts would benefit from </w:t>
      </w:r>
      <w:r w:rsidR="00EB3DFA">
        <w:t xml:space="preserve">the existence of an </w:t>
      </w:r>
      <w:r w:rsidR="006D3942" w:rsidRPr="006D3942">
        <w:t xml:space="preserve">Article I </w:t>
      </w:r>
      <w:r w:rsidR="00A57FC8">
        <w:t>i</w:t>
      </w:r>
      <w:r w:rsidR="006D3942" w:rsidRPr="006D3942">
        <w:t xml:space="preserve">mmigration </w:t>
      </w:r>
      <w:r w:rsidR="00A57FC8">
        <w:t>c</w:t>
      </w:r>
      <w:r w:rsidR="006D3942" w:rsidRPr="006D3942">
        <w:t>ourt</w:t>
      </w:r>
      <w:r w:rsidR="003E1A82">
        <w:t>,</w:t>
      </w:r>
      <w:r w:rsidR="006D3942" w:rsidRPr="006D3942">
        <w:t xml:space="preserve"> </w:t>
      </w:r>
      <w:r w:rsidR="00EB3DFA">
        <w:t>as they would have</w:t>
      </w:r>
      <w:r w:rsidR="00F63C2B">
        <w:t xml:space="preserve"> greater</w:t>
      </w:r>
      <w:r w:rsidR="00EB3DFA">
        <w:t xml:space="preserve"> </w:t>
      </w:r>
      <w:r w:rsidR="006D3942" w:rsidRPr="006D3942">
        <w:t xml:space="preserve">opportunity to eschew current legal tensions in immigration law </w:t>
      </w:r>
      <w:r w:rsidR="00EB3DFA">
        <w:t xml:space="preserve">caused by </w:t>
      </w:r>
      <w:r w:rsidR="006D3942" w:rsidRPr="006D3942">
        <w:t xml:space="preserve">reliance on the </w:t>
      </w:r>
      <w:r w:rsidR="00A801FD">
        <w:t xml:space="preserve">Attorney General’s </w:t>
      </w:r>
      <w:r w:rsidR="006D3942" w:rsidRPr="006D3942">
        <w:t xml:space="preserve">substantive interpretation of the </w:t>
      </w:r>
      <w:proofErr w:type="gramStart"/>
      <w:r w:rsidR="006D3942" w:rsidRPr="006D3942">
        <w:t>law</w:t>
      </w:r>
      <w:r w:rsidR="003E1A82">
        <w:t>,</w:t>
      </w:r>
      <w:r w:rsidR="006D3942" w:rsidRPr="006D3942">
        <w:t xml:space="preserve"> and</w:t>
      </w:r>
      <w:proofErr w:type="gramEnd"/>
      <w:r w:rsidR="006D3942" w:rsidRPr="006D3942">
        <w:t xml:space="preserve"> </w:t>
      </w:r>
      <w:r w:rsidR="00EB3DFA">
        <w:t xml:space="preserve">would </w:t>
      </w:r>
      <w:r w:rsidR="006D3942" w:rsidRPr="006D3942">
        <w:t xml:space="preserve">thus </w:t>
      </w:r>
      <w:r w:rsidR="00EB3DFA">
        <w:t xml:space="preserve">enjoy </w:t>
      </w:r>
      <w:r w:rsidR="006D3942" w:rsidRPr="006D3942">
        <w:t>greater independence in their appellate review functions.</w:t>
      </w:r>
      <w:r w:rsidR="006D3942" w:rsidRPr="006D3942">
        <w:rPr>
          <w:rStyle w:val="NoteRefInText"/>
        </w:rPr>
        <w:footnoteReference w:id="202"/>
      </w:r>
      <w:r w:rsidR="006D3942" w:rsidRPr="006D3942">
        <w:t xml:space="preserve"> Many federal judges have already expressed frustration at the current system. For example, Judge Richard Posner </w:t>
      </w:r>
      <w:r w:rsidR="00EB3DFA">
        <w:t xml:space="preserve">harshly </w:t>
      </w:r>
      <w:r w:rsidR="006D3942" w:rsidRPr="006D3942">
        <w:t>criticized EOIR, noting that “the adjudication of these [immigration] cases at the administrative level has fallen below the minimum standards of legal justice.”</w:t>
      </w:r>
      <w:r w:rsidR="006D3942" w:rsidRPr="006D3942">
        <w:rPr>
          <w:rStyle w:val="NoteRefInText"/>
        </w:rPr>
        <w:footnoteReference w:id="203"/>
      </w:r>
      <w:r w:rsidR="006D3942" w:rsidRPr="006D3942">
        <w:t xml:space="preserve"> </w:t>
      </w:r>
      <w:r w:rsidR="00EB3DFA">
        <w:t>Accordingly, m</w:t>
      </w:r>
      <w:r w:rsidR="006D3942" w:rsidRPr="006D3942">
        <w:t>uch of the frustrations expressed by Article III reviewing judges over the perceived legal inadequacies of current immigration decisions</w:t>
      </w:r>
      <w:r w:rsidR="00EB3DFA">
        <w:t>,</w:t>
      </w:r>
      <w:r w:rsidR="006D3942" w:rsidRPr="006D3942">
        <w:t xml:space="preserve"> </w:t>
      </w:r>
      <w:r w:rsidR="00EB3DFA">
        <w:t xml:space="preserve">as well as </w:t>
      </w:r>
      <w:r w:rsidR="006D3942" w:rsidRPr="006D3942">
        <w:t>the difficulty of reviewing and overturning numerous and often poorly reasoned opinions</w:t>
      </w:r>
      <w:r w:rsidR="00EB3DFA">
        <w:t>,</w:t>
      </w:r>
      <w:r w:rsidR="006D3942" w:rsidRPr="006D3942">
        <w:t xml:space="preserve"> would likely be solved by increasing the overall competence and prestige of trial</w:t>
      </w:r>
      <w:r w:rsidR="00A57FC8">
        <w:t>-</w:t>
      </w:r>
      <w:r w:rsidR="006D3942" w:rsidRPr="006D3942">
        <w:t>level immigration judges through the plan for an Article I court.</w:t>
      </w:r>
      <w:r w:rsidR="006D3942" w:rsidRPr="006D3942">
        <w:rPr>
          <w:rStyle w:val="NoteRefInText"/>
        </w:rPr>
        <w:footnoteReference w:id="204"/>
      </w:r>
    </w:p>
    <w:p w14:paraId="4A65D0CB" w14:textId="6A4F7E83" w:rsidR="008B6F14" w:rsidRDefault="006D3942" w:rsidP="00695136">
      <w:pPr>
        <w:pStyle w:val="Document"/>
      </w:pPr>
      <w:r w:rsidRPr="006D3942">
        <w:t xml:space="preserve">In addition, the </w:t>
      </w:r>
      <w:r w:rsidR="00A801FD">
        <w:t>L</w:t>
      </w:r>
      <w:r w:rsidRPr="006D3942">
        <w:t xml:space="preserve">egislative </w:t>
      </w:r>
      <w:r w:rsidR="00A801FD">
        <w:t>B</w:t>
      </w:r>
      <w:r w:rsidRPr="006D3942">
        <w:t>ranch would benefit greatly under this new plan because, for the first time, Congress would have power over the appointment of immigration judges.</w:t>
      </w:r>
      <w:r w:rsidRPr="006D3942">
        <w:rPr>
          <w:rStyle w:val="NoteRefInText"/>
        </w:rPr>
        <w:footnoteReference w:id="205"/>
      </w:r>
      <w:r w:rsidRPr="006D3942">
        <w:t xml:space="preserve"> This would be </w:t>
      </w:r>
      <w:r w:rsidR="00A801FD">
        <w:t xml:space="preserve">a </w:t>
      </w:r>
      <w:r w:rsidRPr="006D3942">
        <w:t xml:space="preserve">large shift in power for Congress and place a greater emphasis on legislative control over not only substantive questions of law but also the actual immigration judges applying </w:t>
      </w:r>
      <w:r w:rsidR="003E1A82">
        <w:t>it</w:t>
      </w:r>
      <w:r w:rsidRPr="006D3942">
        <w:t xml:space="preserve">. </w:t>
      </w:r>
    </w:p>
    <w:p w14:paraId="078D1584" w14:textId="1D28568D" w:rsidR="006D3942" w:rsidRPr="006D3942" w:rsidRDefault="006D3942" w:rsidP="00695136">
      <w:pPr>
        <w:pStyle w:val="Document"/>
      </w:pPr>
      <w:r w:rsidRPr="006D3942">
        <w:t>Considering current opposition to the Real Courts, Rule of Law Act reveals how shifting the narrative focus to increased congressional oversight of immigration policy could appeal to more political actors. For example, in opposition to the bill, Rep</w:t>
      </w:r>
      <w:r w:rsidR="00075952">
        <w:t>resentative</w:t>
      </w:r>
      <w:r w:rsidRPr="006D3942">
        <w:t xml:space="preserve"> Tom Tiffany, a Republican from Wisconsin</w:t>
      </w:r>
      <w:r w:rsidR="00A801FD">
        <w:t>,</w:t>
      </w:r>
      <w:r w:rsidRPr="006D3942">
        <w:t xml:space="preserve"> stated</w:t>
      </w:r>
      <w:r w:rsidR="00EB3DFA">
        <w:t>: “T</w:t>
      </w:r>
      <w:r w:rsidRPr="006D3942">
        <w:t>his subcommittee should be focused on securing our border and enforcing our immigration laws.</w:t>
      </w:r>
      <w:r w:rsidR="00C53639" w:rsidRPr="006D3942">
        <w:t> </w:t>
      </w:r>
      <w:r w:rsidRPr="006D3942">
        <w:t xml:space="preserve">. . . </w:t>
      </w:r>
      <w:r w:rsidRPr="006D3942">
        <w:rPr>
          <w:i/>
          <w:iCs/>
        </w:rPr>
        <w:t>Congress should retain its role, our rightful role</w:t>
      </w:r>
      <w:r w:rsidRPr="00DF0807">
        <w:rPr>
          <w:bCs/>
        </w:rPr>
        <w:t xml:space="preserve">, </w:t>
      </w:r>
      <w:r w:rsidRPr="006D3942">
        <w:t xml:space="preserve">in making sure that </w:t>
      </w:r>
      <w:r w:rsidRPr="006D3942">
        <w:rPr>
          <w:i/>
          <w:iCs/>
        </w:rPr>
        <w:t>we</w:t>
      </w:r>
      <w:r w:rsidRPr="006D3942">
        <w:t xml:space="preserve"> along with the </w:t>
      </w:r>
      <w:r w:rsidR="00A57FC8">
        <w:t>[E]</w:t>
      </w:r>
      <w:r w:rsidRPr="006D3942">
        <w:t xml:space="preserve">xecutive </w:t>
      </w:r>
      <w:r w:rsidR="00A57FC8">
        <w:t>[B]</w:t>
      </w:r>
      <w:r w:rsidRPr="006D3942">
        <w:t>ranch oversee the immigration courts.”</w:t>
      </w:r>
      <w:r w:rsidRPr="006D3942">
        <w:rPr>
          <w:rStyle w:val="NoteRefInText"/>
        </w:rPr>
        <w:footnoteReference w:id="206"/>
      </w:r>
      <w:r w:rsidRPr="006D3942">
        <w:t xml:space="preserve"> As a political branch, patronage power is valuable to Congress. Emphasizing the increased role that Congress </w:t>
      </w:r>
      <w:r w:rsidRPr="006D3942">
        <w:lastRenderedPageBreak/>
        <w:t>would play in overseeing immigration appointments under the new plan</w:t>
      </w:r>
      <w:r w:rsidR="003C17A3">
        <w:t xml:space="preserve"> could be </w:t>
      </w:r>
      <w:r w:rsidR="00674F1B">
        <w:t>a strong</w:t>
      </w:r>
      <w:r w:rsidR="003C17A3">
        <w:t xml:space="preserve"> </w:t>
      </w:r>
      <w:r w:rsidR="00135478">
        <w:t>tactic for reform</w:t>
      </w:r>
      <w:r w:rsidR="00674F1B">
        <w:t>ers</w:t>
      </w:r>
      <w:r w:rsidR="00135478">
        <w:t xml:space="preserve"> to</w:t>
      </w:r>
      <w:r w:rsidRPr="006D3942">
        <w:t xml:space="preserve"> appeal to many members of Congress</w:t>
      </w:r>
      <w:r w:rsidR="00EB3DFA">
        <w:t>,</w:t>
      </w:r>
      <w:r w:rsidR="00135478">
        <w:t xml:space="preserve"> even outside of traditional partisan divides. </w:t>
      </w:r>
    </w:p>
    <w:p w14:paraId="13BA8FA6" w14:textId="772E05F0" w:rsidR="006D3942" w:rsidRPr="006D3942" w:rsidRDefault="006D3942" w:rsidP="00695136">
      <w:pPr>
        <w:pStyle w:val="Document"/>
      </w:pPr>
      <w:r w:rsidRPr="006D3942">
        <w:t xml:space="preserve">Although appealing to the ideas of political patronage seems to push against the values of judicial independence, the </w:t>
      </w:r>
      <w:r w:rsidR="00BF0AC8" w:rsidRPr="006D3942">
        <w:t>example of bankruptcy</w:t>
      </w:r>
      <w:r w:rsidRPr="006D3942">
        <w:t xml:space="preserve"> demonstrates that when power is shared between the branches, greater decisional independence </w:t>
      </w:r>
      <w:r w:rsidR="00757C51">
        <w:t xml:space="preserve">and insulation from political whims </w:t>
      </w:r>
      <w:r w:rsidR="00237AF3">
        <w:t xml:space="preserve">can </w:t>
      </w:r>
      <w:r w:rsidRPr="006D3942">
        <w:t>arise</w:t>
      </w:r>
      <w:r w:rsidR="00CA1D24">
        <w:t xml:space="preserve"> through the checks</w:t>
      </w:r>
      <w:r w:rsidR="00FF6FDB">
        <w:t>-</w:t>
      </w:r>
      <w:r w:rsidR="00CA1D24">
        <w:t>and</w:t>
      </w:r>
      <w:r w:rsidR="00FF6FDB">
        <w:t>-</w:t>
      </w:r>
      <w:r w:rsidR="00CA1D24">
        <w:t>balances process</w:t>
      </w:r>
      <w:r w:rsidRPr="006D3942">
        <w:t xml:space="preserve">. </w:t>
      </w:r>
      <w:r w:rsidR="00075952">
        <w:t>Greater</w:t>
      </w:r>
      <w:r w:rsidRPr="006D3942">
        <w:t xml:space="preserve"> congressional control over appointments </w:t>
      </w:r>
      <w:r w:rsidR="00075952">
        <w:t xml:space="preserve">will not </w:t>
      </w:r>
      <w:r w:rsidR="00E57171">
        <w:t>necessarily</w:t>
      </w:r>
      <w:r w:rsidR="00237AF3">
        <w:t xml:space="preserve"> </w:t>
      </w:r>
      <w:r w:rsidR="00075952">
        <w:t xml:space="preserve">lead to </w:t>
      </w:r>
      <w:r w:rsidRPr="006D3942">
        <w:t>judges becom</w:t>
      </w:r>
      <w:r w:rsidR="00075952">
        <w:t>ing</w:t>
      </w:r>
      <w:r w:rsidRPr="006D3942">
        <w:t xml:space="preserve"> more </w:t>
      </w:r>
      <w:r w:rsidR="00CD4920" w:rsidRPr="006D3942">
        <w:t>partisan</w:t>
      </w:r>
      <w:r w:rsidR="00CD4920">
        <w:t xml:space="preserve"> but</w:t>
      </w:r>
      <w:r w:rsidRPr="006D3942">
        <w:t xml:space="preserve"> </w:t>
      </w:r>
      <w:r w:rsidR="00FF6FDB">
        <w:t xml:space="preserve">instead </w:t>
      </w:r>
      <w:r w:rsidR="00237AF3">
        <w:t xml:space="preserve">can </w:t>
      </w:r>
      <w:r w:rsidR="00075952">
        <w:t>lead to</w:t>
      </w:r>
      <w:r w:rsidRPr="006D3942">
        <w:t xml:space="preserve"> more independence from executive influence</w:t>
      </w:r>
      <w:r w:rsidR="00D324A4">
        <w:t xml:space="preserve"> and thus more balance and consistency overall</w:t>
      </w:r>
      <w:r w:rsidRPr="006D3942">
        <w:t>.</w:t>
      </w:r>
      <w:r w:rsidRPr="006D3942">
        <w:rPr>
          <w:rStyle w:val="NoteRefInText"/>
        </w:rPr>
        <w:footnoteReference w:id="207"/>
      </w:r>
    </w:p>
    <w:p w14:paraId="1E91E4B3" w14:textId="3BA6B356" w:rsidR="006D3942" w:rsidRDefault="006D3942" w:rsidP="00695136">
      <w:pPr>
        <w:pStyle w:val="Document"/>
      </w:pPr>
      <w:r w:rsidRPr="006D3942">
        <w:t xml:space="preserve">Finally, although the </w:t>
      </w:r>
      <w:r w:rsidR="002D730A">
        <w:t>E</w:t>
      </w:r>
      <w:r w:rsidRPr="006D3942">
        <w:t xml:space="preserve">xecutive </w:t>
      </w:r>
      <w:r w:rsidR="002D730A">
        <w:t>B</w:t>
      </w:r>
      <w:r w:rsidRPr="006D3942">
        <w:t xml:space="preserve">ranch would lose </w:t>
      </w:r>
      <w:r w:rsidR="00C23B0F">
        <w:t>some of its</w:t>
      </w:r>
      <w:r w:rsidR="00C23B0F" w:rsidRPr="006D3942">
        <w:t xml:space="preserve"> </w:t>
      </w:r>
      <w:r w:rsidRPr="006D3942">
        <w:t>current power in the system, it likely would still retain enough vestiges through presidential power over appointments to strike a workable compromise</w:t>
      </w:r>
      <w:r w:rsidR="003E1A82">
        <w:t xml:space="preserve">, much </w:t>
      </w:r>
      <w:r w:rsidRPr="006D3942">
        <w:t>like</w:t>
      </w:r>
      <w:r w:rsidR="005557B7">
        <w:t xml:space="preserve"> the</w:t>
      </w:r>
      <w:r w:rsidRPr="006D3942">
        <w:t xml:space="preserve"> </w:t>
      </w:r>
      <w:r w:rsidR="00587A5E">
        <w:t>eventual</w:t>
      </w:r>
      <w:r w:rsidR="00291201">
        <w:t xml:space="preserve"> compromise over appointments </w:t>
      </w:r>
      <w:r w:rsidRPr="006D3942">
        <w:t xml:space="preserve">that occurred in </w:t>
      </w:r>
      <w:r w:rsidR="00587A5E">
        <w:t xml:space="preserve">the </w:t>
      </w:r>
      <w:r w:rsidRPr="006D3942">
        <w:t>bankruptcy court reform</w:t>
      </w:r>
      <w:r w:rsidR="00291201">
        <w:t xml:space="preserve"> model</w:t>
      </w:r>
      <w:r w:rsidRPr="006D3942">
        <w:t>.</w:t>
      </w:r>
      <w:r w:rsidRPr="006D3942">
        <w:rPr>
          <w:rStyle w:val="NoteRefInText"/>
        </w:rPr>
        <w:footnoteReference w:id="208"/>
      </w:r>
      <w:r w:rsidRPr="006D3942">
        <w:t xml:space="preserve"> </w:t>
      </w:r>
      <w:r w:rsidRPr="00A40316">
        <w:t xml:space="preserve">Just as the bankruptcy courts were only able to transform </w:t>
      </w:r>
      <w:r w:rsidR="00FF6FDB">
        <w:t xml:space="preserve">after a </w:t>
      </w:r>
      <w:r w:rsidRPr="00A40316">
        <w:t xml:space="preserve">compromise </w:t>
      </w:r>
      <w:r w:rsidR="003E1A82">
        <w:t xml:space="preserve">grounded in </w:t>
      </w:r>
      <w:r w:rsidRPr="00A40316">
        <w:t xml:space="preserve">checks and balances </w:t>
      </w:r>
      <w:r w:rsidR="003E1A82">
        <w:t xml:space="preserve">of power </w:t>
      </w:r>
      <w:r w:rsidRPr="00A40316">
        <w:t xml:space="preserve">among the three branches of government, </w:t>
      </w:r>
      <w:r w:rsidR="003E1A82">
        <w:t xml:space="preserve">so too will </w:t>
      </w:r>
      <w:r w:rsidR="002D730A" w:rsidRPr="00A40316">
        <w:t>i</w:t>
      </w:r>
      <w:r w:rsidRPr="00A40316">
        <w:t>mmigration</w:t>
      </w:r>
      <w:r w:rsidR="00FF6FDB">
        <w:t xml:space="preserve"> </w:t>
      </w:r>
      <w:r w:rsidR="002D730A" w:rsidRPr="00A40316">
        <w:t>c</w:t>
      </w:r>
      <w:r w:rsidRPr="00A40316">
        <w:t>ourt</w:t>
      </w:r>
      <w:r w:rsidR="00FF6FDB">
        <w:t xml:space="preserve"> reform</w:t>
      </w:r>
      <w:r w:rsidRPr="00A40316">
        <w:t xml:space="preserve"> </w:t>
      </w:r>
      <w:r w:rsidR="003E1A82">
        <w:t xml:space="preserve">likely </w:t>
      </w:r>
      <w:r w:rsidRPr="00A40316">
        <w:t xml:space="preserve">be most successful by </w:t>
      </w:r>
      <w:r w:rsidR="00FF6FDB">
        <w:t xml:space="preserve">adopting a similar </w:t>
      </w:r>
      <w:r w:rsidRPr="00A40316">
        <w:t xml:space="preserve">shift. </w:t>
      </w:r>
    </w:p>
    <w:p w14:paraId="4658F058" w14:textId="053ABA7F" w:rsidR="00B65186" w:rsidRPr="006D3942" w:rsidRDefault="00062899" w:rsidP="00695136">
      <w:pPr>
        <w:pStyle w:val="Head2"/>
      </w:pPr>
      <w:bookmarkStart w:id="66" w:name="_Toc191465201"/>
      <w:r w:rsidRPr="009F2282">
        <w:t>B.</w:t>
      </w:r>
      <w:r w:rsidR="009F2282">
        <w:tab/>
      </w:r>
      <w:r w:rsidRPr="009F2282">
        <w:t>The Potential Path to Compromise</w:t>
      </w:r>
      <w:bookmarkEnd w:id="66"/>
    </w:p>
    <w:p w14:paraId="126A7CD0" w14:textId="46B7D7A6" w:rsidR="00DC4EA8" w:rsidRDefault="006D3942" w:rsidP="00695136">
      <w:pPr>
        <w:pStyle w:val="Document"/>
      </w:pPr>
      <w:r w:rsidRPr="006D3942">
        <w:t>T</w:t>
      </w:r>
      <w:r w:rsidR="00075952">
        <w:t xml:space="preserve">o create lasting reform, </w:t>
      </w:r>
      <w:r w:rsidR="00FF6FDB">
        <w:t xml:space="preserve">then, </w:t>
      </w:r>
      <w:r w:rsidRPr="006D3942">
        <w:t>immigration reformers will still need to create a series of compromises</w:t>
      </w:r>
      <w:r w:rsidR="00FF6FDB">
        <w:t xml:space="preserve">, </w:t>
      </w:r>
      <w:r w:rsidR="003E1A82">
        <w:t xml:space="preserve">akin to </w:t>
      </w:r>
      <w:r w:rsidRPr="006D3942">
        <w:t xml:space="preserve">the ones made with </w:t>
      </w:r>
      <w:r w:rsidR="006D4B02">
        <w:t xml:space="preserve">the </w:t>
      </w:r>
      <w:r w:rsidR="00930187">
        <w:t xml:space="preserve">Supreme </w:t>
      </w:r>
      <w:r w:rsidRPr="006D3942">
        <w:t xml:space="preserve">Court </w:t>
      </w:r>
      <w:r w:rsidR="008675AB">
        <w:t xml:space="preserve">in the bankruptcy </w:t>
      </w:r>
      <w:proofErr w:type="gramStart"/>
      <w:r w:rsidR="008675AB">
        <w:t>context</w:t>
      </w:r>
      <w:r w:rsidR="00FF6FDB">
        <w:t>,</w:t>
      </w:r>
      <w:proofErr w:type="gramEnd"/>
      <w:r w:rsidR="008675AB">
        <w:t xml:space="preserve"> </w:t>
      </w:r>
      <w:r w:rsidRPr="006D3942">
        <w:t xml:space="preserve">in order to placate the </w:t>
      </w:r>
      <w:r w:rsidR="002D730A">
        <w:t>E</w:t>
      </w:r>
      <w:r w:rsidRPr="006D3942">
        <w:t xml:space="preserve">xecutive </w:t>
      </w:r>
      <w:r w:rsidR="002D730A">
        <w:t>B</w:t>
      </w:r>
      <w:r w:rsidRPr="006D3942">
        <w:t xml:space="preserve">ranch and ensure </w:t>
      </w:r>
      <w:r w:rsidR="00075952">
        <w:t>it</w:t>
      </w:r>
      <w:r w:rsidRPr="006D3942">
        <w:t xml:space="preserve"> </w:t>
      </w:r>
      <w:r w:rsidR="00FF6FDB">
        <w:t xml:space="preserve">will not </w:t>
      </w:r>
      <w:r w:rsidRPr="006D3942">
        <w:t xml:space="preserve">lose all </w:t>
      </w:r>
      <w:r w:rsidR="00075952">
        <w:t>its</w:t>
      </w:r>
      <w:r w:rsidRPr="006D3942">
        <w:t xml:space="preserve"> power. </w:t>
      </w:r>
    </w:p>
    <w:p w14:paraId="2E50D5A6" w14:textId="6E906E4A" w:rsidR="006D3942" w:rsidRPr="006D3942" w:rsidRDefault="006D3942" w:rsidP="00695136">
      <w:pPr>
        <w:pStyle w:val="Document"/>
      </w:pPr>
      <w:r w:rsidRPr="006D3942">
        <w:t>The Real Courts</w:t>
      </w:r>
      <w:r w:rsidR="00930187">
        <w:t>,</w:t>
      </w:r>
      <w:r w:rsidRPr="006D3942">
        <w:t xml:space="preserve"> Rule of Law Act may contain such a compromise by still allowing the president to control the appointment of immigration judges </w:t>
      </w:r>
      <w:r w:rsidR="00FF6FDB">
        <w:t>(</w:t>
      </w:r>
      <w:r w:rsidRPr="006D3942">
        <w:t xml:space="preserve">rather than </w:t>
      </w:r>
      <w:r w:rsidR="00DF46A0">
        <w:t xml:space="preserve">duplicating </w:t>
      </w:r>
      <w:r w:rsidR="00930187">
        <w:t xml:space="preserve">the </w:t>
      </w:r>
      <w:r w:rsidRPr="006D3942">
        <w:t>modern bankruptcy model</w:t>
      </w:r>
      <w:r w:rsidR="00FF6FDB">
        <w:t xml:space="preserve">, in which </w:t>
      </w:r>
      <w:r w:rsidRPr="006D3942">
        <w:t>judges are appointed by the U.S. Courts of Appeals</w:t>
      </w:r>
      <w:r w:rsidR="00FF6FDB">
        <w:t>)</w:t>
      </w:r>
      <w:r w:rsidR="00DF46A0">
        <w:t xml:space="preserve">. </w:t>
      </w:r>
      <w:r w:rsidRPr="006D3942">
        <w:t>Another compromise that could be included in future legislative proposal</w:t>
      </w:r>
      <w:r w:rsidR="00075952">
        <w:t>s</w:t>
      </w:r>
      <w:r w:rsidRPr="006D3942">
        <w:t xml:space="preserve"> for immigration</w:t>
      </w:r>
      <w:r w:rsidR="00FF6FDB">
        <w:t xml:space="preserve"> </w:t>
      </w:r>
      <w:r w:rsidRPr="006D3942">
        <w:t xml:space="preserve">court reform would be for the new immigration courts to retain </w:t>
      </w:r>
      <w:r w:rsidR="001520C6" w:rsidRPr="001E6745">
        <w:rPr>
          <w:i/>
          <w:iCs/>
        </w:rPr>
        <w:t>some</w:t>
      </w:r>
      <w:r w:rsidR="001520C6">
        <w:t xml:space="preserve"> </w:t>
      </w:r>
      <w:r w:rsidRPr="006D3942">
        <w:t xml:space="preserve">deference to the </w:t>
      </w:r>
      <w:r w:rsidR="00075952">
        <w:t>E</w:t>
      </w:r>
      <w:r w:rsidRPr="006D3942">
        <w:t>xecutive</w:t>
      </w:r>
      <w:r w:rsidR="00A57FC8">
        <w:t xml:space="preserve"> Branch</w:t>
      </w:r>
      <w:r w:rsidRPr="006D3942">
        <w:t xml:space="preserve">’s interpretation of immigration rules and regulations. </w:t>
      </w:r>
      <w:r w:rsidR="00FF6FDB">
        <w:t>On one hand, t</w:t>
      </w:r>
      <w:r w:rsidRPr="006D3942">
        <w:t xml:space="preserve">his would </w:t>
      </w:r>
      <w:r w:rsidR="00FF6FDB">
        <w:t xml:space="preserve">allow the Executive Branch to retain a level of interpretive authority over </w:t>
      </w:r>
      <w:r w:rsidRPr="006D3942">
        <w:t>some areas of law</w:t>
      </w:r>
      <w:r w:rsidR="00FF6FDB">
        <w:t xml:space="preserve">; on the other, it would </w:t>
      </w:r>
      <w:r w:rsidRPr="006D3942">
        <w:t xml:space="preserve">ensure the Attorney General is removed from a position of </w:t>
      </w:r>
      <w:r w:rsidRPr="001E6745">
        <w:rPr>
          <w:i/>
          <w:iCs/>
        </w:rPr>
        <w:t>outsized</w:t>
      </w:r>
      <w:r w:rsidRPr="006D3942">
        <w:t xml:space="preserve"> authority over substantive interpretation of law.</w:t>
      </w:r>
    </w:p>
    <w:p w14:paraId="08AEE7AA" w14:textId="11B82A42" w:rsidR="006D3942" w:rsidRPr="006D3942" w:rsidRDefault="006D3942" w:rsidP="00695136">
      <w:pPr>
        <w:pStyle w:val="Document"/>
      </w:pPr>
      <w:r w:rsidRPr="006D3942">
        <w:lastRenderedPageBreak/>
        <w:t>In addition, proponents of immigration</w:t>
      </w:r>
      <w:r w:rsidR="00FF6FDB">
        <w:t xml:space="preserve"> </w:t>
      </w:r>
      <w:r w:rsidRPr="006D3942">
        <w:t xml:space="preserve">court reform should consider how </w:t>
      </w:r>
      <w:r w:rsidR="00075952">
        <w:t xml:space="preserve">a scenario </w:t>
      </w:r>
      <w:r w:rsidRPr="006D3942">
        <w:t xml:space="preserve">analogous to the one in which the </w:t>
      </w:r>
      <w:r w:rsidR="00AC79CC">
        <w:t xml:space="preserve">Supreme </w:t>
      </w:r>
      <w:r w:rsidRPr="006D3942">
        <w:t xml:space="preserve">Court struck down aspects of the 1978 Act as unconstitutional </w:t>
      </w:r>
      <w:r w:rsidR="003E1A82">
        <w:t xml:space="preserve">might </w:t>
      </w:r>
      <w:r w:rsidRPr="006D3942">
        <w:t xml:space="preserve">play out in the immigration context. In this case, </w:t>
      </w:r>
      <w:r w:rsidR="00075952">
        <w:t xml:space="preserve">while </w:t>
      </w:r>
      <w:r w:rsidR="003E1A82">
        <w:t xml:space="preserve">reformers are </w:t>
      </w:r>
      <w:r w:rsidR="00075952">
        <w:t xml:space="preserve">not </w:t>
      </w:r>
      <w:r w:rsidR="00FF6FDB">
        <w:t xml:space="preserve">grappling </w:t>
      </w:r>
      <w:r w:rsidR="00075952">
        <w:t>with</w:t>
      </w:r>
      <w:r w:rsidR="00075952" w:rsidRPr="006D3942">
        <w:t xml:space="preserve"> </w:t>
      </w:r>
      <w:r w:rsidR="0056692D">
        <w:t xml:space="preserve">the </w:t>
      </w:r>
      <w:r w:rsidRPr="006D3942">
        <w:t xml:space="preserve">concern that the Court will rule the plan unconstitutional </w:t>
      </w:r>
      <w:proofErr w:type="gramStart"/>
      <w:r w:rsidRPr="006D3942">
        <w:t>in an effort to</w:t>
      </w:r>
      <w:proofErr w:type="gramEnd"/>
      <w:r w:rsidRPr="006D3942">
        <w:t xml:space="preserve"> fight to maintain power</w:t>
      </w:r>
      <w:r w:rsidR="00847AE3">
        <w:t xml:space="preserve"> in the judiciary</w:t>
      </w:r>
      <w:r w:rsidRPr="006D3942">
        <w:t xml:space="preserve">, </w:t>
      </w:r>
      <w:r w:rsidR="003E1A82">
        <w:t xml:space="preserve">they </w:t>
      </w:r>
      <w:r w:rsidRPr="006D3942">
        <w:t xml:space="preserve">will have to contend with the </w:t>
      </w:r>
      <w:r w:rsidR="00FF6FDB">
        <w:t xml:space="preserve">prospect </w:t>
      </w:r>
      <w:r w:rsidRPr="006D3942">
        <w:t xml:space="preserve">of </w:t>
      </w:r>
      <w:r w:rsidR="00075952">
        <w:t xml:space="preserve">a </w:t>
      </w:r>
      <w:r w:rsidRPr="006D3942">
        <w:t>presidential veto over any proposed legislation</w:t>
      </w:r>
      <w:r w:rsidR="00847AE3">
        <w:t xml:space="preserve"> to maintain</w:t>
      </w:r>
      <w:r w:rsidR="00A57FC8">
        <w:t xml:space="preserve"> </w:t>
      </w:r>
      <w:r w:rsidR="00FF6FDB">
        <w:t xml:space="preserve">authority within </w:t>
      </w:r>
      <w:r w:rsidR="00A57FC8">
        <w:t>the</w:t>
      </w:r>
      <w:r w:rsidR="00847AE3">
        <w:t xml:space="preserve"> Executive</w:t>
      </w:r>
      <w:r w:rsidR="00FF6FDB">
        <w:t xml:space="preserve"> Branch</w:t>
      </w:r>
      <w:r w:rsidRPr="006D3942">
        <w:t>.</w:t>
      </w:r>
    </w:p>
    <w:p w14:paraId="3CFF13FC" w14:textId="3822EA10" w:rsidR="00E30DB8" w:rsidRDefault="006D3942" w:rsidP="00695136">
      <w:pPr>
        <w:pStyle w:val="Document"/>
      </w:pPr>
      <w:r w:rsidRPr="006D3942">
        <w:t xml:space="preserve">Although this difference </w:t>
      </w:r>
      <w:r w:rsidR="00F9678B">
        <w:t>could</w:t>
      </w:r>
      <w:r w:rsidR="00F9678B" w:rsidRPr="006D3942">
        <w:t xml:space="preserve"> </w:t>
      </w:r>
      <w:r w:rsidRPr="006D3942">
        <w:t xml:space="preserve">suggest that the story of bankruptcy is not </w:t>
      </w:r>
      <w:r w:rsidR="00FF6FDB">
        <w:t xml:space="preserve">entirely </w:t>
      </w:r>
      <w:r w:rsidRPr="006D3942">
        <w:t>applicable to immigration reform, the general lessons for power</w:t>
      </w:r>
      <w:r w:rsidR="00FF6FDB">
        <w:t>-</w:t>
      </w:r>
      <w:r w:rsidRPr="006D3942">
        <w:t>shift</w:t>
      </w:r>
      <w:r w:rsidR="00FF6FDB">
        <w:t>s</w:t>
      </w:r>
      <w:r w:rsidRPr="006D3942">
        <w:t xml:space="preserve"> between</w:t>
      </w:r>
      <w:r w:rsidR="003A4882">
        <w:t xml:space="preserve"> the</w:t>
      </w:r>
      <w:r w:rsidRPr="006D3942">
        <w:t xml:space="preserve"> branches of government function in the same manner. Although </w:t>
      </w:r>
      <w:r w:rsidR="00303BEE">
        <w:t xml:space="preserve">the obstacles presented by </w:t>
      </w:r>
      <w:r w:rsidRPr="006D3942">
        <w:t xml:space="preserve">a presidential veto </w:t>
      </w:r>
      <w:r w:rsidR="00FF6FDB">
        <w:t xml:space="preserve">and </w:t>
      </w:r>
      <w:r w:rsidR="00303BEE">
        <w:t xml:space="preserve">a </w:t>
      </w:r>
      <w:r w:rsidRPr="006D3942">
        <w:t>finding of unconstitutionality</w:t>
      </w:r>
      <w:r w:rsidR="00FF6FDB">
        <w:t xml:space="preserve"> </w:t>
      </w:r>
      <w:r w:rsidR="00303BEE">
        <w:t>are different</w:t>
      </w:r>
      <w:r w:rsidRPr="006D3942">
        <w:t xml:space="preserve">, the underlying necessary remedy would be the same: another set of compromises in the legislative plan to ensure that the realignment of power is workable. </w:t>
      </w:r>
      <w:r w:rsidR="00F9678B">
        <w:t>F</w:t>
      </w:r>
      <w:r w:rsidRPr="0083262E">
        <w:t>or immigration</w:t>
      </w:r>
      <w:r w:rsidR="00FF6FDB">
        <w:t xml:space="preserve"> </w:t>
      </w:r>
      <w:r w:rsidRPr="0083262E">
        <w:t>court reform</w:t>
      </w:r>
      <w:r w:rsidR="00FE550E">
        <w:t>,</w:t>
      </w:r>
      <w:r w:rsidRPr="0083262E">
        <w:t xml:space="preserve"> Congress </w:t>
      </w:r>
      <w:r w:rsidR="008960F7">
        <w:t>could simply</w:t>
      </w:r>
      <w:r w:rsidRPr="0083262E">
        <w:t xml:space="preserve"> overcome the veto</w:t>
      </w:r>
      <w:r w:rsidR="009C1AB4">
        <w:t xml:space="preserve"> through a two-thirds vote.</w:t>
      </w:r>
      <w:r w:rsidR="00BB0160" w:rsidRPr="00B053B5">
        <w:rPr>
          <w:rStyle w:val="NoteRefInText"/>
        </w:rPr>
        <w:footnoteReference w:id="209"/>
      </w:r>
      <w:r w:rsidR="00BB0160" w:rsidRPr="001550FE">
        <w:t xml:space="preserve"> This avenue</w:t>
      </w:r>
      <w:r w:rsidR="00BB0160" w:rsidRPr="0083262E">
        <w:t xml:space="preserve"> </w:t>
      </w:r>
      <w:r w:rsidRPr="0083262E">
        <w:t xml:space="preserve">did not exist for Congress when </w:t>
      </w:r>
      <w:r w:rsidR="00303BEE">
        <w:t xml:space="preserve">it </w:t>
      </w:r>
      <w:r w:rsidRPr="0083262E">
        <w:t>navigat</w:t>
      </w:r>
      <w:r w:rsidR="00303BEE">
        <w:t>ed</w:t>
      </w:r>
      <w:r w:rsidRPr="0083262E">
        <w:t xml:space="preserve"> bankruptcy reform after the Cou</w:t>
      </w:r>
      <w:r w:rsidR="00075952" w:rsidRPr="0083262E">
        <w:t>r</w:t>
      </w:r>
      <w:r w:rsidRPr="0083262E">
        <w:t xml:space="preserve">t forced Congress to </w:t>
      </w:r>
      <w:r w:rsidR="00303BEE">
        <w:t xml:space="preserve">return </w:t>
      </w:r>
      <w:r w:rsidRPr="0083262E">
        <w:t>to the negotiating table.</w:t>
      </w:r>
      <w:r w:rsidR="0042664C">
        <w:t xml:space="preserve"> </w:t>
      </w:r>
      <w:r w:rsidR="003E1A82">
        <w:t>But today, o</w:t>
      </w:r>
      <w:r w:rsidR="0083262E" w:rsidRPr="001550FE">
        <w:t xml:space="preserve">vercoming a presidential veto is a </w:t>
      </w:r>
      <w:r w:rsidR="006F76A7">
        <w:t xml:space="preserve">somewhat </w:t>
      </w:r>
      <w:r w:rsidR="0083262E" w:rsidRPr="001550FE">
        <w:t>common occurrence</w:t>
      </w:r>
      <w:r w:rsidR="00303BEE">
        <w:t xml:space="preserve">, as </w:t>
      </w:r>
      <w:r w:rsidR="00BB6D05">
        <w:t xml:space="preserve">Congress </w:t>
      </w:r>
      <w:r w:rsidR="00303BEE">
        <w:t xml:space="preserve">has overridden </w:t>
      </w:r>
      <w:r w:rsidR="002B17A0">
        <w:t xml:space="preserve">at least </w:t>
      </w:r>
      <w:r w:rsidR="00BB6D05">
        <w:t xml:space="preserve">six presidential </w:t>
      </w:r>
      <w:r w:rsidR="0009003E">
        <w:t>vetoes</w:t>
      </w:r>
      <w:r w:rsidR="00BB6D05">
        <w:t xml:space="preserve"> </w:t>
      </w:r>
      <w:r w:rsidR="00F6229A">
        <w:t>in the last four administrations</w:t>
      </w:r>
      <w:r w:rsidR="0083262E" w:rsidRPr="001550FE">
        <w:t>.</w:t>
      </w:r>
      <w:r w:rsidR="0083262E" w:rsidRPr="00B053B5">
        <w:rPr>
          <w:rStyle w:val="NoteRefInText"/>
        </w:rPr>
        <w:footnoteReference w:id="210"/>
      </w:r>
      <w:r w:rsidR="00E30DB8">
        <w:t xml:space="preserve"> Alternatively, Congress could rework the legislation to satisfy the Executive Branch without needing to overcome the veto.</w:t>
      </w:r>
    </w:p>
    <w:p w14:paraId="25310115" w14:textId="4FA0CF84" w:rsidR="006D3942" w:rsidRPr="006D3942" w:rsidRDefault="006D3942" w:rsidP="00695136">
      <w:pPr>
        <w:pStyle w:val="Document"/>
      </w:pPr>
      <w:r w:rsidRPr="0083262E">
        <w:t xml:space="preserve">Thus, </w:t>
      </w:r>
      <w:r w:rsidR="00303BEE">
        <w:t xml:space="preserve">although </w:t>
      </w:r>
      <w:r w:rsidRPr="0083262E">
        <w:t xml:space="preserve">critics might suggest that these two contexts </w:t>
      </w:r>
      <w:r w:rsidR="006429E2">
        <w:t xml:space="preserve">diverge too substantially </w:t>
      </w:r>
      <w:r w:rsidRPr="0083262E">
        <w:t xml:space="preserve">to offer a valuable analogy because of the </w:t>
      </w:r>
      <w:r w:rsidR="0028323C" w:rsidRPr="0083262E">
        <w:t xml:space="preserve">traditional </w:t>
      </w:r>
      <w:r w:rsidRPr="0083262E">
        <w:t xml:space="preserve">view </w:t>
      </w:r>
      <w:r w:rsidR="0028323C" w:rsidRPr="0083262E">
        <w:t xml:space="preserve">that the </w:t>
      </w:r>
      <w:r w:rsidR="001550FE">
        <w:t>J</w:t>
      </w:r>
      <w:r w:rsidRPr="0083262E">
        <w:t>udic</w:t>
      </w:r>
      <w:r w:rsidR="0028323C" w:rsidRPr="0083262E">
        <w:t xml:space="preserve">ial </w:t>
      </w:r>
      <w:r w:rsidR="001550FE">
        <w:t>B</w:t>
      </w:r>
      <w:r w:rsidR="0028323C" w:rsidRPr="0083262E">
        <w:t xml:space="preserve">ranch of the United States possesses a power that is weaker than </w:t>
      </w:r>
      <w:r w:rsidRPr="0083262E">
        <w:t xml:space="preserve">the power of the </w:t>
      </w:r>
      <w:r w:rsidR="00075952" w:rsidRPr="0083262E">
        <w:t>P</w:t>
      </w:r>
      <w:r w:rsidRPr="0083262E">
        <w:t>resident or of Congress,</w:t>
      </w:r>
      <w:r w:rsidR="00075952" w:rsidRPr="00B053B5">
        <w:rPr>
          <w:rStyle w:val="NoteRefInText"/>
        </w:rPr>
        <w:footnoteReference w:id="211"/>
      </w:r>
      <w:r w:rsidRPr="0083262E">
        <w:t xml:space="preserve"> court reform may </w:t>
      </w:r>
      <w:r w:rsidR="00303BEE">
        <w:t xml:space="preserve">still </w:t>
      </w:r>
      <w:r w:rsidRPr="0083262E">
        <w:t>serve as an exception to this general rule</w:t>
      </w:r>
      <w:r w:rsidR="00303BEE">
        <w:t xml:space="preserve">—one in which </w:t>
      </w:r>
      <w:r w:rsidRPr="0083262E">
        <w:t xml:space="preserve">stripping power away from the </w:t>
      </w:r>
      <w:r w:rsidR="002D730A" w:rsidRPr="0083262E">
        <w:t>E</w:t>
      </w:r>
      <w:r w:rsidRPr="0083262E">
        <w:t xml:space="preserve">xecutive </w:t>
      </w:r>
      <w:r w:rsidR="002D730A" w:rsidRPr="0083262E">
        <w:t>B</w:t>
      </w:r>
      <w:r w:rsidRPr="0083262E">
        <w:t xml:space="preserve">ranch </w:t>
      </w:r>
      <w:r w:rsidR="00303BEE">
        <w:t xml:space="preserve">presents </w:t>
      </w:r>
      <w:r w:rsidRPr="0083262E">
        <w:t>the easier path forward.</w:t>
      </w:r>
      <w:r w:rsidR="001550FE">
        <w:t xml:space="preserve"> </w:t>
      </w:r>
      <w:r w:rsidR="00A52A4A" w:rsidRPr="0083262E">
        <w:t>Therefore</w:t>
      </w:r>
      <w:r w:rsidRPr="0083262E">
        <w:t>, the lessons from bankruptcy still apply and provide a reasonable guide for understanding how power is reallocated among the three branches of government.</w:t>
      </w:r>
    </w:p>
    <w:p w14:paraId="6BCC29A2" w14:textId="79A3F32A" w:rsidR="006D3942" w:rsidRPr="006D3942" w:rsidRDefault="009746DB" w:rsidP="00695136">
      <w:pPr>
        <w:pStyle w:val="Document"/>
      </w:pPr>
      <w:r>
        <w:t>T</w:t>
      </w:r>
      <w:r w:rsidR="006D3942" w:rsidRPr="006D3942">
        <w:t xml:space="preserve">he path forward for a realistic plan to reform </w:t>
      </w:r>
      <w:r w:rsidR="002D730A">
        <w:t>i</w:t>
      </w:r>
      <w:r w:rsidR="006D3942" w:rsidRPr="006D3942">
        <w:t xml:space="preserve">mmigration courts should </w:t>
      </w:r>
      <w:r w:rsidR="00303BEE">
        <w:t xml:space="preserve">thus </w:t>
      </w:r>
      <w:r w:rsidR="006D3942" w:rsidRPr="006D3942">
        <w:t xml:space="preserve">be guided by the historical </w:t>
      </w:r>
      <w:r w:rsidR="00F02A25">
        <w:t xml:space="preserve">lessons </w:t>
      </w:r>
      <w:r w:rsidR="006D3942" w:rsidRPr="006D3942">
        <w:t xml:space="preserve">of reforming bankruptcy courts. To get there will require a reshuffling of the power between the three branches of government. The lessons learned from bankruptcy suggest that </w:t>
      </w:r>
      <w:r w:rsidR="006D3942" w:rsidRPr="006D3942">
        <w:lastRenderedPageBreak/>
        <w:t xml:space="preserve">the best way to accomplish this goal is to appeal </w:t>
      </w:r>
      <w:r w:rsidR="00C01005">
        <w:t>to the other branches of government</w:t>
      </w:r>
      <w:r w:rsidR="006F53F6">
        <w:t xml:space="preserve"> to</w:t>
      </w:r>
      <w:r w:rsidR="00C01005">
        <w:t xml:space="preserve"> </w:t>
      </w:r>
      <w:r w:rsidR="006D3942" w:rsidRPr="006D3942">
        <w:t>create lasting reform.</w:t>
      </w:r>
    </w:p>
    <w:p w14:paraId="1786D62A" w14:textId="64034071" w:rsidR="006D3942" w:rsidRPr="006D3942" w:rsidRDefault="006D3942" w:rsidP="00695136">
      <w:pPr>
        <w:pStyle w:val="Head1"/>
      </w:pPr>
      <w:bookmarkStart w:id="67" w:name="_Toc173015252"/>
      <w:bookmarkStart w:id="68" w:name="_Toc191465202"/>
      <w:r w:rsidRPr="006D3942">
        <w:t>Conclusion</w:t>
      </w:r>
      <w:bookmarkEnd w:id="67"/>
      <w:bookmarkEnd w:id="68"/>
    </w:p>
    <w:p w14:paraId="7B04931A" w14:textId="60B8BD47" w:rsidR="00A82654" w:rsidRPr="006D3942" w:rsidRDefault="006D3942" w:rsidP="00695136">
      <w:pPr>
        <w:pStyle w:val="Document"/>
      </w:pPr>
      <w:r w:rsidRPr="006D3942">
        <w:t xml:space="preserve">Reforming the </w:t>
      </w:r>
      <w:r w:rsidR="002D730A">
        <w:t>i</w:t>
      </w:r>
      <w:r w:rsidRPr="006D3942">
        <w:t xml:space="preserve">mmigration </w:t>
      </w:r>
      <w:r w:rsidR="002D730A">
        <w:t>c</w:t>
      </w:r>
      <w:r w:rsidRPr="006D3942">
        <w:t>ourts into Article I courts is a laudable goal. B</w:t>
      </w:r>
      <w:r w:rsidR="00303BEE">
        <w:t xml:space="preserve">ut in contrasting </w:t>
      </w:r>
      <w:r w:rsidRPr="006D3942">
        <w:t xml:space="preserve">the </w:t>
      </w:r>
      <w:r w:rsidR="00DF0B0A">
        <w:t>stor</w:t>
      </w:r>
      <w:r w:rsidR="00C53639">
        <w:t>ies</w:t>
      </w:r>
      <w:r w:rsidR="00DF0B0A">
        <w:t xml:space="preserve"> </w:t>
      </w:r>
      <w:r w:rsidRPr="006D3942">
        <w:t>of the Bankruptcy Reform Act of 1978</w:t>
      </w:r>
      <w:r w:rsidR="00DF0B0A">
        <w:t xml:space="preserve"> and the</w:t>
      </w:r>
      <w:r w:rsidR="00F02A25">
        <w:t xml:space="preserve"> </w:t>
      </w:r>
      <w:r w:rsidR="00F02A25" w:rsidRPr="00561ECE">
        <w:t>Bankruptcy Amendments and Federal Judgeship Act of 1984</w:t>
      </w:r>
      <w:r w:rsidR="001550FE">
        <w:t>,</w:t>
      </w:r>
      <w:r w:rsidR="00F02A25" w:rsidRPr="00561ECE">
        <w:t xml:space="preserve"> </w:t>
      </w:r>
      <w:r w:rsidRPr="006D3942">
        <w:t xml:space="preserve">which ultimately established an independent bankruptcy court system under </w:t>
      </w:r>
      <w:r w:rsidR="00C53639">
        <w:br/>
      </w:r>
      <w:r w:rsidRPr="006D3942">
        <w:t xml:space="preserve">Article I of the Constitution, with the comparative failure to create </w:t>
      </w:r>
      <w:r w:rsidR="007B0841">
        <w:t>i</w:t>
      </w:r>
      <w:r w:rsidRPr="006D3942">
        <w:t xml:space="preserve">mmigration </w:t>
      </w:r>
      <w:r w:rsidR="007B0841">
        <w:t>c</w:t>
      </w:r>
      <w:r w:rsidRPr="006D3942">
        <w:t>ourt</w:t>
      </w:r>
      <w:r w:rsidR="007B0841">
        <w:t>s</w:t>
      </w:r>
      <w:r w:rsidRPr="006D3942">
        <w:t xml:space="preserve"> under Article I, it </w:t>
      </w:r>
      <w:r w:rsidR="00303BEE">
        <w:t xml:space="preserve">becomes </w:t>
      </w:r>
      <w:r w:rsidRPr="006D3942">
        <w:t xml:space="preserve">apparent that the framing for legislative action </w:t>
      </w:r>
      <w:proofErr w:type="gramStart"/>
      <w:r w:rsidRPr="006D3942">
        <w:t>in the area of</w:t>
      </w:r>
      <w:proofErr w:type="gramEnd"/>
      <w:r w:rsidRPr="006D3942">
        <w:t xml:space="preserve"> immigration requires much change. Ultimately, the failure to create an Article I </w:t>
      </w:r>
      <w:r w:rsidR="00A57FC8">
        <w:t>i</w:t>
      </w:r>
      <w:r w:rsidRPr="006D3942">
        <w:t xml:space="preserve">mmigration </w:t>
      </w:r>
      <w:r w:rsidR="00A57FC8">
        <w:t>c</w:t>
      </w:r>
      <w:r w:rsidRPr="006D3942">
        <w:t xml:space="preserve">ourt lies in the lack of action from </w:t>
      </w:r>
      <w:r w:rsidR="007B0841">
        <w:t xml:space="preserve">the </w:t>
      </w:r>
      <w:r w:rsidR="002D730A">
        <w:t>L</w:t>
      </w:r>
      <w:r w:rsidRPr="006D3942">
        <w:t xml:space="preserve">egislative and </w:t>
      </w:r>
      <w:r w:rsidR="002D730A">
        <w:t>J</w:t>
      </w:r>
      <w:r w:rsidRPr="006D3942">
        <w:t xml:space="preserve">udicial </w:t>
      </w:r>
      <w:r w:rsidR="007B0841">
        <w:t>B</w:t>
      </w:r>
      <w:r w:rsidRPr="006D3942">
        <w:t xml:space="preserve">ranches to strip the </w:t>
      </w:r>
      <w:r w:rsidR="002D730A">
        <w:t>E</w:t>
      </w:r>
      <w:r w:rsidRPr="006D3942">
        <w:t xml:space="preserve">xecutive </w:t>
      </w:r>
      <w:r w:rsidR="002D730A">
        <w:t>B</w:t>
      </w:r>
      <w:r w:rsidRPr="006D3942">
        <w:t xml:space="preserve">ranch of its current comprehensive control of the </w:t>
      </w:r>
      <w:r w:rsidR="002D730A">
        <w:t>i</w:t>
      </w:r>
      <w:r w:rsidRPr="006D3942">
        <w:t xml:space="preserve">mmigration </w:t>
      </w:r>
      <w:r w:rsidR="002D730A">
        <w:t>c</w:t>
      </w:r>
      <w:r w:rsidRPr="006D3942">
        <w:t xml:space="preserve">ourts. Shifting the narrative focus of proposals to create an Article I </w:t>
      </w:r>
      <w:r w:rsidR="00A57FC8">
        <w:t>i</w:t>
      </w:r>
      <w:r w:rsidRPr="006D3942">
        <w:t xml:space="preserve">mmigration </w:t>
      </w:r>
      <w:r w:rsidR="00A57FC8">
        <w:t>c</w:t>
      </w:r>
      <w:r w:rsidRPr="006D3942">
        <w:t>ourt towards increased oversight and opportunity for influence by Congress</w:t>
      </w:r>
      <w:r w:rsidR="00E6597B">
        <w:t xml:space="preserve"> and the Judiciary</w:t>
      </w:r>
      <w:r w:rsidRPr="006D3942">
        <w:t>, while also emphasizing the separation of powers concern present in the current system</w:t>
      </w:r>
      <w:r w:rsidR="007B0841">
        <w:t>,</w:t>
      </w:r>
      <w:r w:rsidRPr="006D3942">
        <w:t xml:space="preserve"> is the best possible path forward. By enacting a plan where Congress and the federal courts </w:t>
      </w:r>
      <w:proofErr w:type="gramStart"/>
      <w:r w:rsidRPr="006D3942">
        <w:t>are able to</w:t>
      </w:r>
      <w:proofErr w:type="gramEnd"/>
      <w:r w:rsidRPr="006D3942">
        <w:t xml:space="preserve"> exert increased control o</w:t>
      </w:r>
      <w:r w:rsidR="007B0841">
        <w:t>ver</w:t>
      </w:r>
      <w:r w:rsidRPr="006D3942">
        <w:t xml:space="preserve"> immigration law and policy, a fairer and less biased system can be achieved.</w:t>
      </w:r>
    </w:p>
    <w:sectPr w:rsidR="00A82654" w:rsidRPr="006D3942" w:rsidSect="00990764">
      <w:headerReference w:type="even" r:id="rId12"/>
      <w:headerReference w:type="default" r:id="rId13"/>
      <w:headerReference w:type="first" r:id="rId14"/>
      <w:pgSz w:w="12240" w:h="15840"/>
      <w:pgMar w:top="720" w:right="2765" w:bottom="2045" w:left="2765" w:header="720" w:footer="2045" w:gutter="0"/>
      <w:pgNumType w:start="88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266E" w14:textId="77777777" w:rsidR="00691342" w:rsidRDefault="00691342" w:rsidP="006D3942">
      <w:pPr>
        <w:spacing w:after="0" w:line="240" w:lineRule="auto"/>
      </w:pPr>
      <w:r>
        <w:separator/>
      </w:r>
    </w:p>
  </w:endnote>
  <w:endnote w:type="continuationSeparator" w:id="0">
    <w:p w14:paraId="51AFE8FA" w14:textId="77777777" w:rsidR="00691342" w:rsidRDefault="00691342" w:rsidP="006D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10AA" w14:textId="77777777" w:rsidR="00691342" w:rsidRPr="006D3942" w:rsidRDefault="00691342" w:rsidP="006D3942">
      <w:pPr>
        <w:pStyle w:val="FootnoteSeparator"/>
      </w:pPr>
    </w:p>
  </w:footnote>
  <w:footnote w:type="continuationSeparator" w:id="0">
    <w:p w14:paraId="081EF075" w14:textId="77777777" w:rsidR="00691342" w:rsidRPr="006D3942" w:rsidRDefault="00691342" w:rsidP="006D3942">
      <w:pPr>
        <w:pStyle w:val="FootnoteSeparator"/>
      </w:pPr>
    </w:p>
  </w:footnote>
  <w:footnote w:id="1">
    <w:p w14:paraId="58284B0E" w14:textId="5323EA53" w:rsidR="006D3942" w:rsidRPr="006D3942" w:rsidRDefault="006D3942" w:rsidP="00695136">
      <w:pPr>
        <w:pStyle w:val="FootNote"/>
      </w:pPr>
      <w:r w:rsidRPr="006D3942">
        <w:tab/>
      </w:r>
      <w:r w:rsidRPr="006D3942">
        <w:rPr>
          <w:rStyle w:val="NoteRefInNote"/>
        </w:rPr>
        <w:footnoteRef/>
      </w:r>
      <w:r w:rsidRPr="006D3942">
        <w:t xml:space="preserve">. Nina Shapiro, </w:t>
      </w:r>
      <w:r w:rsidRPr="006D3942">
        <w:rPr>
          <w:i/>
          <w:iCs/>
        </w:rPr>
        <w:t xml:space="preserve">Trump </w:t>
      </w:r>
      <w:r w:rsidR="000C293D">
        <w:rPr>
          <w:i/>
          <w:iCs/>
        </w:rPr>
        <w:t>O</w:t>
      </w:r>
      <w:r w:rsidRPr="006D3942">
        <w:rPr>
          <w:i/>
          <w:iCs/>
        </w:rPr>
        <w:t xml:space="preserve">rders </w:t>
      </w:r>
      <w:r w:rsidR="000C293D">
        <w:rPr>
          <w:i/>
          <w:iCs/>
        </w:rPr>
        <w:t>J</w:t>
      </w:r>
      <w:r w:rsidRPr="006D3942">
        <w:rPr>
          <w:i/>
          <w:iCs/>
        </w:rPr>
        <w:t xml:space="preserve">udges to </w:t>
      </w:r>
      <w:r w:rsidR="000C293D">
        <w:rPr>
          <w:i/>
          <w:iCs/>
        </w:rPr>
        <w:t>H</w:t>
      </w:r>
      <w:r w:rsidRPr="006D3942">
        <w:rPr>
          <w:i/>
          <w:iCs/>
        </w:rPr>
        <w:t xml:space="preserve">urry </w:t>
      </w:r>
      <w:r w:rsidR="000C293D">
        <w:rPr>
          <w:i/>
          <w:iCs/>
        </w:rPr>
        <w:t>U</w:t>
      </w:r>
      <w:r w:rsidRPr="006D3942">
        <w:rPr>
          <w:i/>
          <w:iCs/>
        </w:rPr>
        <w:t xml:space="preserve">p; </w:t>
      </w:r>
      <w:r w:rsidR="000C293D">
        <w:rPr>
          <w:i/>
          <w:iCs/>
        </w:rPr>
        <w:t>H</w:t>
      </w:r>
      <w:r w:rsidRPr="006D3942">
        <w:rPr>
          <w:i/>
          <w:iCs/>
        </w:rPr>
        <w:t>ere</w:t>
      </w:r>
      <w:r>
        <w:rPr>
          <w:i/>
          <w:iCs/>
        </w:rPr>
        <w:t>’</w:t>
      </w:r>
      <w:r w:rsidRPr="006D3942">
        <w:rPr>
          <w:i/>
          <w:iCs/>
        </w:rPr>
        <w:t xml:space="preserve">s </w:t>
      </w:r>
      <w:r w:rsidR="000C293D">
        <w:rPr>
          <w:i/>
          <w:iCs/>
        </w:rPr>
        <w:t>W</w:t>
      </w:r>
      <w:r w:rsidRPr="006D3942">
        <w:rPr>
          <w:i/>
          <w:iCs/>
        </w:rPr>
        <w:t>hat the</w:t>
      </w:r>
      <w:r w:rsidR="000C293D">
        <w:rPr>
          <w:i/>
          <w:iCs/>
        </w:rPr>
        <w:t xml:space="preserve"> P</w:t>
      </w:r>
      <w:r w:rsidRPr="006D3942">
        <w:rPr>
          <w:i/>
          <w:iCs/>
        </w:rPr>
        <w:t xml:space="preserve">ublic </w:t>
      </w:r>
      <w:r w:rsidR="000C293D">
        <w:rPr>
          <w:i/>
          <w:iCs/>
        </w:rPr>
        <w:t>R</w:t>
      </w:r>
      <w:r w:rsidRPr="006D3942">
        <w:rPr>
          <w:i/>
          <w:iCs/>
        </w:rPr>
        <w:t xml:space="preserve">arely </w:t>
      </w:r>
      <w:r w:rsidR="000C293D">
        <w:rPr>
          <w:i/>
          <w:iCs/>
        </w:rPr>
        <w:t>S</w:t>
      </w:r>
      <w:r w:rsidRPr="006D3942">
        <w:rPr>
          <w:i/>
          <w:iCs/>
        </w:rPr>
        <w:t xml:space="preserve">ees in Seattle and Tacoma </w:t>
      </w:r>
      <w:r w:rsidR="000C293D">
        <w:rPr>
          <w:i/>
          <w:iCs/>
        </w:rPr>
        <w:t>I</w:t>
      </w:r>
      <w:r w:rsidRPr="006D3942">
        <w:rPr>
          <w:i/>
          <w:iCs/>
        </w:rPr>
        <w:t xml:space="preserve">mmigration </w:t>
      </w:r>
      <w:r w:rsidR="000C293D">
        <w:rPr>
          <w:i/>
          <w:iCs/>
        </w:rPr>
        <w:t>C</w:t>
      </w:r>
      <w:r w:rsidRPr="006D3942">
        <w:rPr>
          <w:i/>
          <w:iCs/>
        </w:rPr>
        <w:t>ourts</w:t>
      </w:r>
      <w:r w:rsidRPr="006D3942">
        <w:t xml:space="preserve">, </w:t>
      </w:r>
      <w:r w:rsidRPr="006D3942">
        <w:rPr>
          <w:smallCaps/>
        </w:rPr>
        <w:t>Seattle Times</w:t>
      </w:r>
      <w:r w:rsidRPr="006D3942">
        <w:t xml:space="preserve"> (Apr. 6, 2018, 6:47 AM), https://www.seattletimes.com/seattle-news/northwest/immigration-courts-out-of-public-sight-face-new-criticism-as-trump-ramps-up-pressure/</w:t>
      </w:r>
      <w:r w:rsidR="00024FD4">
        <w:t xml:space="preserve"> [https://perma.cc/VL6B-MTM4]</w:t>
      </w:r>
      <w:r w:rsidRPr="006D3942">
        <w:t xml:space="preserve"> (quoting Judge Dana Leigh Marks).</w:t>
      </w:r>
    </w:p>
  </w:footnote>
  <w:footnote w:id="2">
    <w:p w14:paraId="24339917" w14:textId="62061623" w:rsidR="00023E67" w:rsidRPr="00564984" w:rsidRDefault="00B053B5" w:rsidP="00695136">
      <w:pPr>
        <w:pStyle w:val="FootNote"/>
      </w:pPr>
      <w:r w:rsidRPr="001E6745">
        <w:tab/>
      </w:r>
      <w:r w:rsidR="00106D5A" w:rsidRPr="001E6745">
        <w:rPr>
          <w:rStyle w:val="NoteRefInNote"/>
        </w:rPr>
        <w:footnoteRef/>
      </w:r>
      <w:r w:rsidRPr="001E6745">
        <w:t>. </w:t>
      </w:r>
      <w:r w:rsidR="00106D5A" w:rsidRPr="00B053B5">
        <w:rPr>
          <w:rStyle w:val="normaltextrun"/>
          <w:smallCaps/>
          <w:color w:val="000000"/>
          <w:szCs w:val="17"/>
          <w:shd w:val="clear" w:color="auto" w:fill="FFFFFF"/>
        </w:rPr>
        <w:t>Nat’l Ass’n of Immigr. Judges,</w:t>
      </w:r>
      <w:r w:rsidR="00106D5A" w:rsidRPr="00B053B5">
        <w:rPr>
          <w:rStyle w:val="normaltextrun"/>
          <w:color w:val="000000"/>
          <w:szCs w:val="17"/>
          <w:shd w:val="clear" w:color="auto" w:fill="FFFFFF"/>
        </w:rPr>
        <w:t xml:space="preserve"> https://www.naij-usa.org [https://perma.cc/8DMT-SPU4].</w:t>
      </w:r>
    </w:p>
  </w:footnote>
  <w:footnote w:id="3">
    <w:p w14:paraId="17073AAE" w14:textId="3FF5CBF0" w:rsidR="006D3942" w:rsidRPr="00106D5A" w:rsidRDefault="006D3942" w:rsidP="00695136">
      <w:pPr>
        <w:pStyle w:val="FootNote"/>
        <w:rPr>
          <w:iCs/>
        </w:rPr>
      </w:pPr>
      <w:r w:rsidRPr="006D3942">
        <w:rPr>
          <w:iCs/>
        </w:rPr>
        <w:tab/>
      </w:r>
      <w:r w:rsidRPr="006D3942">
        <w:rPr>
          <w:rStyle w:val="NoteRefInNote"/>
        </w:rPr>
        <w:footnoteRef/>
      </w:r>
      <w:r w:rsidRPr="006D3942">
        <w:rPr>
          <w:iCs/>
        </w:rPr>
        <w:t>. </w:t>
      </w:r>
      <w:r w:rsidR="00106D5A" w:rsidRPr="00564984">
        <w:t>Shapiro,</w:t>
      </w:r>
      <w:r w:rsidR="00106D5A">
        <w:rPr>
          <w:i/>
          <w:iCs/>
        </w:rPr>
        <w:t xml:space="preserve"> supra </w:t>
      </w:r>
      <w:r w:rsidR="00106D5A" w:rsidRPr="00564984">
        <w:t xml:space="preserve">note </w:t>
      </w:r>
      <w:r w:rsidR="00106D5A">
        <w:fldChar w:fldCharType="begin"/>
      </w:r>
      <w:r w:rsidR="00106D5A">
        <w:instrText xml:space="preserve"> NOTEREF _Ref180674314 \h </w:instrText>
      </w:r>
      <w:r w:rsidR="001E6745">
        <w:instrText xml:space="preserve"> \* MERGEFORMAT </w:instrText>
      </w:r>
      <w:r w:rsidR="00106D5A">
        <w:fldChar w:fldCharType="separate"/>
      </w:r>
      <w:r w:rsidR="00102CC5">
        <w:t>1</w:t>
      </w:r>
      <w:r w:rsidR="00106D5A">
        <w:fldChar w:fldCharType="end"/>
      </w:r>
      <w:r w:rsidR="00106D5A" w:rsidRPr="00564984">
        <w:t>.</w:t>
      </w:r>
    </w:p>
  </w:footnote>
  <w:footnote w:id="4">
    <w:p w14:paraId="6E137C16" w14:textId="02831225"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 e.g.</w:t>
      </w:r>
      <w:r w:rsidRPr="006D3942">
        <w:t xml:space="preserve">, </w:t>
      </w:r>
      <w:r w:rsidR="00106D5A">
        <w:rPr>
          <w:rStyle w:val="normaltextrun"/>
          <w:rFonts w:eastAsiaTheme="majorEastAsia"/>
          <w:i/>
          <w:iCs/>
          <w:color w:val="000000"/>
          <w:shd w:val="clear" w:color="auto" w:fill="FFFFFF"/>
        </w:rPr>
        <w:t>Death Penalty Cases in Traffic Court Setting</w:t>
      </w:r>
      <w:r w:rsidR="00106D5A">
        <w:rPr>
          <w:rStyle w:val="normaltextrun"/>
          <w:rFonts w:eastAsiaTheme="majorEastAsia"/>
          <w:color w:val="000000"/>
          <w:shd w:val="clear" w:color="auto" w:fill="FFFFFF"/>
        </w:rPr>
        <w:t xml:space="preserve">, </w:t>
      </w:r>
      <w:r w:rsidR="00106D5A" w:rsidRPr="00564984">
        <w:rPr>
          <w:rStyle w:val="normaltextrun"/>
          <w:rFonts w:eastAsiaTheme="majorEastAsia"/>
          <w:smallCaps/>
          <w:color w:val="000000"/>
          <w:shd w:val="clear" w:color="auto" w:fill="FFFFFF"/>
        </w:rPr>
        <w:t>Immigrant L. Ctr. of Minn.</w:t>
      </w:r>
      <w:r w:rsidR="00106D5A" w:rsidRPr="00106D5A">
        <w:rPr>
          <w:rStyle w:val="normaltextrun"/>
          <w:rFonts w:eastAsiaTheme="majorEastAsia"/>
          <w:color w:val="000000"/>
          <w:shd w:val="clear" w:color="auto" w:fill="FFFFFF"/>
        </w:rPr>
        <w:t xml:space="preserve"> </w:t>
      </w:r>
      <w:r w:rsidR="00B64C5C">
        <w:rPr>
          <w:rStyle w:val="normaltextrun"/>
          <w:rFonts w:eastAsiaTheme="majorEastAsia"/>
          <w:color w:val="000000"/>
          <w:shd w:val="clear" w:color="auto" w:fill="FFFFFF"/>
        </w:rPr>
        <w:br/>
      </w:r>
      <w:r w:rsidR="00106D5A">
        <w:rPr>
          <w:rStyle w:val="normaltextrun"/>
          <w:rFonts w:eastAsiaTheme="majorEastAsia"/>
          <w:color w:val="000000"/>
          <w:shd w:val="clear" w:color="auto" w:fill="FFFFFF"/>
        </w:rPr>
        <w:t>(Mar. 31, 2020), https://www.ilcm.org/latest-news/death-penalty-cases-in-traffic-court-setting/ [https://perma.cc/S49X-TXGM] (quoting Judge Marks’s refrain in the article title</w:t>
      </w:r>
      <w:r w:rsidR="005C5035">
        <w:rPr>
          <w:rStyle w:val="normaltextrun"/>
          <w:rFonts w:eastAsiaTheme="majorEastAsia"/>
          <w:color w:val="000000"/>
          <w:shd w:val="clear" w:color="auto" w:fill="FFFFFF"/>
        </w:rPr>
        <w:t xml:space="preserve"> and advocating for Congress to make immigration courts Article</w:t>
      </w:r>
      <w:r w:rsidR="001E6745">
        <w:rPr>
          <w:rStyle w:val="normaltextrun"/>
          <w:rFonts w:eastAsiaTheme="majorEastAsia"/>
          <w:color w:val="000000"/>
          <w:shd w:val="clear" w:color="auto" w:fill="FFFFFF"/>
        </w:rPr>
        <w:t xml:space="preserve"> </w:t>
      </w:r>
      <w:r w:rsidR="005C5035">
        <w:rPr>
          <w:rStyle w:val="normaltextrun"/>
          <w:rFonts w:eastAsiaTheme="majorEastAsia"/>
          <w:color w:val="000000"/>
          <w:shd w:val="clear" w:color="auto" w:fill="FFFFFF"/>
        </w:rPr>
        <w:t>I courts</w:t>
      </w:r>
      <w:r w:rsidR="00106D5A">
        <w:rPr>
          <w:rStyle w:val="normaltextrun"/>
          <w:rFonts w:eastAsiaTheme="majorEastAsia"/>
          <w:color w:val="000000"/>
          <w:shd w:val="clear" w:color="auto" w:fill="FFFFFF"/>
        </w:rPr>
        <w:t>).</w:t>
      </w:r>
    </w:p>
  </w:footnote>
  <w:footnote w:id="5">
    <w:p w14:paraId="2A633E7D" w14:textId="52208692" w:rsidR="006D3942" w:rsidRPr="006D3942" w:rsidRDefault="006D3942" w:rsidP="00695136">
      <w:pPr>
        <w:pStyle w:val="FootNote"/>
      </w:pPr>
      <w:r w:rsidRPr="006D3942">
        <w:tab/>
      </w:r>
      <w:r w:rsidRPr="006D3942">
        <w:rPr>
          <w:rStyle w:val="NoteRefInNote"/>
        </w:rPr>
        <w:footnoteRef/>
      </w:r>
      <w:r w:rsidRPr="006D3942">
        <w:t>. </w:t>
      </w:r>
      <w:r w:rsidR="005C5035">
        <w:rPr>
          <w:i/>
          <w:iCs/>
        </w:rPr>
        <w:t>See</w:t>
      </w:r>
      <w:r w:rsidR="005C5035" w:rsidRPr="00DC06A7">
        <w:rPr>
          <w:i/>
          <w:iCs/>
        </w:rPr>
        <w:t>,</w:t>
      </w:r>
      <w:r w:rsidR="005C5035">
        <w:rPr>
          <w:i/>
          <w:iCs/>
        </w:rPr>
        <w:t xml:space="preserve"> e.g.</w:t>
      </w:r>
      <w:r w:rsidR="005C5035" w:rsidRPr="00A13608">
        <w:t>,</w:t>
      </w:r>
      <w:r w:rsidR="005C5035">
        <w:rPr>
          <w:i/>
          <w:iCs/>
        </w:rPr>
        <w:t xml:space="preserve"> </w:t>
      </w:r>
      <w:r w:rsidRPr="006D3942">
        <w:t xml:space="preserve">Erik Ortiz, </w:t>
      </w:r>
      <w:r w:rsidRPr="006D3942">
        <w:rPr>
          <w:i/>
          <w:iCs/>
        </w:rPr>
        <w:t xml:space="preserve">Influx of </w:t>
      </w:r>
      <w:r w:rsidR="00CC365D">
        <w:rPr>
          <w:i/>
          <w:iCs/>
        </w:rPr>
        <w:t>M</w:t>
      </w:r>
      <w:r w:rsidRPr="006D3942">
        <w:rPr>
          <w:i/>
          <w:iCs/>
        </w:rPr>
        <w:t xml:space="preserve">igrants at </w:t>
      </w:r>
      <w:r w:rsidR="00CC365D">
        <w:rPr>
          <w:i/>
          <w:iCs/>
        </w:rPr>
        <w:t>B</w:t>
      </w:r>
      <w:r w:rsidRPr="006D3942">
        <w:rPr>
          <w:i/>
          <w:iCs/>
        </w:rPr>
        <w:t xml:space="preserve">order </w:t>
      </w:r>
      <w:r w:rsidR="00CC365D">
        <w:rPr>
          <w:i/>
          <w:iCs/>
        </w:rPr>
        <w:t>G</w:t>
      </w:r>
      <w:r w:rsidRPr="006D3942">
        <w:rPr>
          <w:i/>
          <w:iCs/>
        </w:rPr>
        <w:t xml:space="preserve">ains </w:t>
      </w:r>
      <w:r w:rsidR="00CC365D">
        <w:rPr>
          <w:i/>
          <w:iCs/>
        </w:rPr>
        <w:t>R</w:t>
      </w:r>
      <w:r w:rsidRPr="006D3942">
        <w:rPr>
          <w:i/>
          <w:iCs/>
        </w:rPr>
        <w:t xml:space="preserve">enewed </w:t>
      </w:r>
      <w:r w:rsidR="00CC365D">
        <w:rPr>
          <w:i/>
          <w:iCs/>
        </w:rPr>
        <w:t>A</w:t>
      </w:r>
      <w:r w:rsidRPr="006D3942">
        <w:rPr>
          <w:i/>
          <w:iCs/>
        </w:rPr>
        <w:t xml:space="preserve">ttention as </w:t>
      </w:r>
      <w:r>
        <w:rPr>
          <w:i/>
          <w:iCs/>
        </w:rPr>
        <w:t>‘</w:t>
      </w:r>
      <w:r w:rsidR="00CC365D">
        <w:rPr>
          <w:i/>
          <w:iCs/>
        </w:rPr>
        <w:t>C</w:t>
      </w:r>
      <w:r w:rsidRPr="006D3942">
        <w:rPr>
          <w:i/>
          <w:iCs/>
        </w:rPr>
        <w:t>risis</w:t>
      </w:r>
      <w:r>
        <w:rPr>
          <w:i/>
          <w:iCs/>
        </w:rPr>
        <w:t>’</w:t>
      </w:r>
      <w:r w:rsidRPr="006D3942">
        <w:rPr>
          <w:i/>
          <w:iCs/>
        </w:rPr>
        <w:t xml:space="preserve"> </w:t>
      </w:r>
      <w:r w:rsidR="00CC365D">
        <w:rPr>
          <w:i/>
          <w:iCs/>
        </w:rPr>
        <w:t>R</w:t>
      </w:r>
      <w:r w:rsidRPr="006D3942">
        <w:rPr>
          <w:i/>
          <w:iCs/>
        </w:rPr>
        <w:t xml:space="preserve">hetoric </w:t>
      </w:r>
      <w:r w:rsidR="00CC365D">
        <w:rPr>
          <w:i/>
          <w:iCs/>
        </w:rPr>
        <w:t>S</w:t>
      </w:r>
      <w:r w:rsidRPr="006D3942">
        <w:rPr>
          <w:i/>
          <w:iCs/>
        </w:rPr>
        <w:t>preads</w:t>
      </w:r>
      <w:r w:rsidRPr="006D3942">
        <w:t xml:space="preserve">, </w:t>
      </w:r>
      <w:r w:rsidRPr="006D3942">
        <w:rPr>
          <w:smallCaps/>
        </w:rPr>
        <w:t>NBC News</w:t>
      </w:r>
      <w:r w:rsidRPr="006D3942">
        <w:t xml:space="preserve"> (Oct. 4, 2023, 5:00 PM), https://www.nbcnews.com/politics/politics-news/influx-migrants-border-gains-renewed-attention-crisis-rhetoric-spreads-rcna118595</w:t>
      </w:r>
      <w:r w:rsidR="00024FD4">
        <w:t xml:space="preserve"> [</w:t>
      </w:r>
      <w:r w:rsidR="00106D5A" w:rsidRPr="00106D5A">
        <w:t>https://perma.cc/2RJW-T975</w:t>
      </w:r>
      <w:r w:rsidR="00024FD4">
        <w:t>]</w:t>
      </w:r>
      <w:r w:rsidR="005C5035">
        <w:t xml:space="preserve"> (describing rising concern for the U.S. immigration system in “cities inundated with an influx of migrants”)</w:t>
      </w:r>
      <w:r w:rsidRPr="006D3942">
        <w:t xml:space="preserve">; Will Weissert &amp; Linley Sanders, </w:t>
      </w:r>
      <w:r w:rsidRPr="006D3942">
        <w:rPr>
          <w:i/>
          <w:iCs/>
        </w:rPr>
        <w:t xml:space="preserve">More Americans </w:t>
      </w:r>
      <w:r w:rsidR="00CC365D">
        <w:rPr>
          <w:i/>
          <w:iCs/>
        </w:rPr>
        <w:t>T</w:t>
      </w:r>
      <w:r w:rsidRPr="006D3942">
        <w:rPr>
          <w:i/>
          <w:iCs/>
        </w:rPr>
        <w:t xml:space="preserve">hink </w:t>
      </w:r>
      <w:r w:rsidR="00CC365D">
        <w:rPr>
          <w:i/>
          <w:iCs/>
        </w:rPr>
        <w:t>F</w:t>
      </w:r>
      <w:r w:rsidRPr="006D3942">
        <w:rPr>
          <w:i/>
          <w:iCs/>
        </w:rPr>
        <w:t xml:space="preserve">oreign </w:t>
      </w:r>
      <w:r w:rsidR="00CC365D">
        <w:rPr>
          <w:i/>
          <w:iCs/>
        </w:rPr>
        <w:t>P</w:t>
      </w:r>
      <w:r w:rsidRPr="006D3942">
        <w:rPr>
          <w:i/>
          <w:iCs/>
        </w:rPr>
        <w:t xml:space="preserve">olicy </w:t>
      </w:r>
      <w:r w:rsidR="00CC365D">
        <w:rPr>
          <w:i/>
          <w:iCs/>
        </w:rPr>
        <w:t>S</w:t>
      </w:r>
      <w:r w:rsidRPr="006D3942">
        <w:rPr>
          <w:i/>
          <w:iCs/>
        </w:rPr>
        <w:t xml:space="preserve">hould </w:t>
      </w:r>
      <w:r w:rsidR="00B64C5C">
        <w:rPr>
          <w:i/>
          <w:iCs/>
        </w:rPr>
        <w:t>B</w:t>
      </w:r>
      <w:r w:rsidRPr="006D3942">
        <w:rPr>
          <w:i/>
          <w:iCs/>
        </w:rPr>
        <w:t xml:space="preserve">e a </w:t>
      </w:r>
      <w:r w:rsidR="00CC365D">
        <w:rPr>
          <w:i/>
          <w:iCs/>
        </w:rPr>
        <w:t>T</w:t>
      </w:r>
      <w:r w:rsidRPr="006D3942">
        <w:rPr>
          <w:i/>
          <w:iCs/>
        </w:rPr>
        <w:t xml:space="preserve">op US </w:t>
      </w:r>
      <w:r w:rsidR="00CC365D">
        <w:rPr>
          <w:i/>
          <w:iCs/>
        </w:rPr>
        <w:t>P</w:t>
      </w:r>
      <w:r w:rsidRPr="006D3942">
        <w:rPr>
          <w:i/>
          <w:iCs/>
        </w:rPr>
        <w:t xml:space="preserve">riority for 2024, an AP-NORC </w:t>
      </w:r>
      <w:r w:rsidR="00CC365D">
        <w:rPr>
          <w:i/>
          <w:iCs/>
        </w:rPr>
        <w:t>P</w:t>
      </w:r>
      <w:r w:rsidRPr="006D3942">
        <w:rPr>
          <w:i/>
          <w:iCs/>
        </w:rPr>
        <w:t xml:space="preserve">oll </w:t>
      </w:r>
      <w:r w:rsidR="00CC365D">
        <w:rPr>
          <w:i/>
          <w:iCs/>
        </w:rPr>
        <w:t>F</w:t>
      </w:r>
      <w:r w:rsidRPr="006D3942">
        <w:rPr>
          <w:i/>
          <w:iCs/>
        </w:rPr>
        <w:t>inds</w:t>
      </w:r>
      <w:r w:rsidRPr="006D3942">
        <w:t xml:space="preserve">, </w:t>
      </w:r>
      <w:r w:rsidRPr="006D3942">
        <w:rPr>
          <w:smallCaps/>
        </w:rPr>
        <w:t>A</w:t>
      </w:r>
      <w:r w:rsidR="00106D5A">
        <w:rPr>
          <w:smallCaps/>
        </w:rPr>
        <w:t xml:space="preserve">ssociated </w:t>
      </w:r>
      <w:r w:rsidR="005C5035">
        <w:rPr>
          <w:smallCaps/>
        </w:rPr>
        <w:t>P</w:t>
      </w:r>
      <w:r w:rsidR="00106D5A">
        <w:rPr>
          <w:smallCaps/>
        </w:rPr>
        <w:t>ress</w:t>
      </w:r>
      <w:r w:rsidRPr="006D3942">
        <w:t xml:space="preserve"> (Jan. 1, 2024, 12:27 PM), https://apnews.com/article/2024-top-issues-poll-foreign-policy-israel-d89db59deb07f53382cc9292b49f4d1c</w:t>
      </w:r>
      <w:r w:rsidR="00024FD4">
        <w:t xml:space="preserve"> [https://perma.cc/3LRU-LV8G]</w:t>
      </w:r>
      <w:r w:rsidR="005C5035">
        <w:t xml:space="preserve"> (listing foreign policy and immigration as top concerns of the American public)</w:t>
      </w:r>
      <w:r w:rsidRPr="006D3942">
        <w:t>.</w:t>
      </w:r>
    </w:p>
  </w:footnote>
  <w:footnote w:id="6">
    <w:p w14:paraId="7B2FC2EB" w14:textId="0180F2DF" w:rsidR="007513A7" w:rsidRDefault="007F7F65" w:rsidP="00990764">
      <w:pPr>
        <w:pStyle w:val="FootNote"/>
      </w:pPr>
      <w:r w:rsidRPr="00A13608">
        <w:tab/>
      </w:r>
      <w:r w:rsidR="007513A7" w:rsidRPr="00A13608">
        <w:rPr>
          <w:rStyle w:val="NoteRefInNote"/>
        </w:rPr>
        <w:footnoteRef/>
      </w:r>
      <w:r w:rsidRPr="00A13608">
        <w:t>. </w:t>
      </w:r>
      <w:r w:rsidRPr="007F7F65">
        <w:t>Exec. Order No. 14160, 90 Fed. Reg. 8449 (Jan. 20, 2025).</w:t>
      </w:r>
    </w:p>
  </w:footnote>
  <w:footnote w:id="7">
    <w:p w14:paraId="2F05A99C" w14:textId="367AE43C" w:rsidR="00DB104B" w:rsidRPr="00564984" w:rsidRDefault="00B053B5" w:rsidP="00695136">
      <w:pPr>
        <w:pStyle w:val="FootNote"/>
      </w:pPr>
      <w:r w:rsidRPr="001E6745">
        <w:tab/>
      </w:r>
      <w:r w:rsidR="00106D5A" w:rsidRPr="001E6745">
        <w:rPr>
          <w:rStyle w:val="NoteRefInNote"/>
        </w:rPr>
        <w:footnoteRef/>
      </w:r>
      <w:r w:rsidRPr="001E6745">
        <w:t>. </w:t>
      </w:r>
      <w:r w:rsidR="00106D5A" w:rsidRPr="00B053B5">
        <w:rPr>
          <w:i/>
          <w:iCs/>
        </w:rPr>
        <w:t>See</w:t>
      </w:r>
      <w:r w:rsidR="00106D5A" w:rsidRPr="00B053B5">
        <w:t xml:space="preserve"> </w:t>
      </w:r>
      <w:r w:rsidR="00106D5A" w:rsidRPr="00B053B5">
        <w:rPr>
          <w:rStyle w:val="normaltextrun"/>
          <w:i/>
          <w:iCs/>
          <w:color w:val="000000"/>
          <w:szCs w:val="17"/>
          <w:shd w:val="clear" w:color="auto" w:fill="FFFFFF"/>
        </w:rPr>
        <w:t>Muslim Travel Ban</w:t>
      </w:r>
      <w:r w:rsidR="00106D5A" w:rsidRPr="00B053B5">
        <w:rPr>
          <w:rStyle w:val="normaltextrun"/>
          <w:color w:val="000000"/>
          <w:szCs w:val="17"/>
          <w:shd w:val="clear" w:color="auto" w:fill="FFFFFF"/>
        </w:rPr>
        <w:t xml:space="preserve">, </w:t>
      </w:r>
      <w:r w:rsidR="00DB104B" w:rsidRPr="00B053B5">
        <w:rPr>
          <w:smallCaps/>
        </w:rPr>
        <w:t>Immigr. &amp; Ethnic Hist. Soc’y</w:t>
      </w:r>
      <w:r w:rsidR="00DB104B" w:rsidRPr="00B053B5">
        <w:rPr>
          <w:rStyle w:val="normaltextrun"/>
          <w:color w:val="000000"/>
          <w:szCs w:val="17"/>
          <w:shd w:val="clear" w:color="auto" w:fill="FFFFFF"/>
        </w:rPr>
        <w:t xml:space="preserve">, </w:t>
      </w:r>
      <w:r w:rsidRPr="001E6745">
        <w:rPr>
          <w:rStyle w:val="normaltextrun"/>
          <w:color w:val="000000"/>
          <w:szCs w:val="17"/>
          <w:shd w:val="clear" w:color="auto" w:fill="FFFFFF"/>
        </w:rPr>
        <w:t>https://immigrationhistory.org</w:t>
      </w:r>
      <w:r>
        <w:rPr>
          <w:rStyle w:val="normaltextrun"/>
          <w:color w:val="000000"/>
          <w:szCs w:val="17"/>
          <w:shd w:val="clear" w:color="auto" w:fill="FFFFFF"/>
        </w:rPr>
        <w:br/>
      </w:r>
      <w:r w:rsidR="00B64C5C" w:rsidRPr="00B053B5">
        <w:rPr>
          <w:rStyle w:val="normaltextrun"/>
          <w:color w:val="000000"/>
          <w:szCs w:val="17"/>
          <w:shd w:val="clear" w:color="auto" w:fill="FFFFFF"/>
        </w:rPr>
        <w:t>/item</w:t>
      </w:r>
      <w:r w:rsidR="00106D5A" w:rsidRPr="00B053B5">
        <w:rPr>
          <w:rStyle w:val="normaltextrun"/>
          <w:color w:val="000000"/>
          <w:szCs w:val="17"/>
          <w:shd w:val="clear" w:color="auto" w:fill="FFFFFF"/>
        </w:rPr>
        <w:t>/muslim-travel-ban [https://perma.cc/HTV4-ZU97] (</w:t>
      </w:r>
      <w:r w:rsidR="00DB104B" w:rsidRPr="00B053B5">
        <w:rPr>
          <w:rStyle w:val="normaltextrun"/>
          <w:color w:val="000000"/>
          <w:szCs w:val="17"/>
          <w:shd w:val="clear" w:color="auto" w:fill="FFFFFF"/>
        </w:rPr>
        <w:t xml:space="preserve">explaining that </w:t>
      </w:r>
      <w:r w:rsidR="00106D5A" w:rsidRPr="00B053B5">
        <w:rPr>
          <w:rStyle w:val="normaltextrun"/>
          <w:color w:val="000000"/>
          <w:szCs w:val="17"/>
          <w:shd w:val="clear" w:color="auto" w:fill="FFFFFF"/>
        </w:rPr>
        <w:t xml:space="preserve">the “Muslim Ban” </w:t>
      </w:r>
      <w:r w:rsidR="00DB104B" w:rsidRPr="00B053B5">
        <w:rPr>
          <w:rStyle w:val="normaltextrun"/>
          <w:color w:val="000000"/>
          <w:szCs w:val="17"/>
          <w:shd w:val="clear" w:color="auto" w:fill="FFFFFF"/>
        </w:rPr>
        <w:t>refers</w:t>
      </w:r>
      <w:r w:rsidR="00106D5A" w:rsidRPr="00B053B5">
        <w:rPr>
          <w:rStyle w:val="normaltextrun"/>
          <w:color w:val="000000"/>
          <w:szCs w:val="17"/>
          <w:shd w:val="clear" w:color="auto" w:fill="FFFFFF"/>
        </w:rPr>
        <w:t xml:space="preserve"> to a series of executive orders prohibiting “travel and refugee resettlement from select predominately Muslim countries”).</w:t>
      </w:r>
    </w:p>
  </w:footnote>
  <w:footnote w:id="8">
    <w:p w14:paraId="3C610838" w14:textId="4EDF740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Muzaffar Chishti &amp; Jessica Bolter, </w:t>
      </w:r>
      <w:r w:rsidRPr="006D3942">
        <w:rPr>
          <w:i/>
          <w:iCs/>
        </w:rPr>
        <w:t>Once Relatively Obscure, ICE Becomes a Lightning Rod in Immigration Debate</w:t>
      </w:r>
      <w:r w:rsidRPr="00A13608">
        <w:t>,</w:t>
      </w:r>
      <w:r w:rsidRPr="006D3942">
        <w:rPr>
          <w:i/>
          <w:iCs/>
        </w:rPr>
        <w:t xml:space="preserve"> </w:t>
      </w:r>
      <w:r w:rsidRPr="006D3942">
        <w:rPr>
          <w:smallCaps/>
        </w:rPr>
        <w:t>Migration Pol</w:t>
      </w:r>
      <w:r>
        <w:rPr>
          <w:smallCaps/>
        </w:rPr>
        <w:t>’</w:t>
      </w:r>
      <w:r w:rsidRPr="006D3942">
        <w:rPr>
          <w:smallCaps/>
        </w:rPr>
        <w:t>y Inst</w:t>
      </w:r>
      <w:r w:rsidR="00106D5A">
        <w:rPr>
          <w:smallCaps/>
        </w:rPr>
        <w:t>.</w:t>
      </w:r>
      <w:r w:rsidRPr="006D3942">
        <w:rPr>
          <w:smallCaps/>
        </w:rPr>
        <w:t>:</w:t>
      </w:r>
      <w:r w:rsidRPr="006D3942">
        <w:t xml:space="preserve"> </w:t>
      </w:r>
      <w:r w:rsidRPr="006D3942">
        <w:rPr>
          <w:smallCaps/>
        </w:rPr>
        <w:t>Pol</w:t>
      </w:r>
      <w:r>
        <w:rPr>
          <w:smallCaps/>
        </w:rPr>
        <w:t>’</w:t>
      </w:r>
      <w:r w:rsidRPr="006D3942">
        <w:rPr>
          <w:smallCaps/>
        </w:rPr>
        <w:t>y Beat</w:t>
      </w:r>
      <w:r w:rsidRPr="006D3942">
        <w:t xml:space="preserve"> (Aug. 22, 2018), https://www.migrationpolicy.org/article/once-relatively-obscure-ice-becomes-lightning-rod-immigration-debate</w:t>
      </w:r>
      <w:r w:rsidR="00024FD4">
        <w:t xml:space="preserve"> [https://perma.cc/K3LR-U33A]</w:t>
      </w:r>
      <w:r w:rsidRPr="006D3942">
        <w:t xml:space="preserve"> (describing the increase in public </w:t>
      </w:r>
      <w:r w:rsidR="00106D5A">
        <w:t>anger toward</w:t>
      </w:r>
      <w:r w:rsidRPr="006D3942">
        <w:t xml:space="preserve"> ICE</w:t>
      </w:r>
      <w:r w:rsidR="00106D5A">
        <w:t xml:space="preserve"> for the Trump Administration’s</w:t>
      </w:r>
      <w:r w:rsidRPr="006D3942">
        <w:t xml:space="preserve"> immigration </w:t>
      </w:r>
      <w:r w:rsidR="00106D5A">
        <w:t>policies</w:t>
      </w:r>
      <w:r w:rsidRPr="006D3942">
        <w:t>).</w:t>
      </w:r>
    </w:p>
  </w:footnote>
  <w:footnote w:id="9">
    <w:p w14:paraId="71FF7E17" w14:textId="1B0CF4D3" w:rsidR="006D3942" w:rsidRPr="006D3942" w:rsidRDefault="006D3942" w:rsidP="00695136">
      <w:pPr>
        <w:pStyle w:val="FootNote"/>
      </w:pPr>
      <w:r w:rsidRPr="001E6745">
        <w:rPr>
          <w:iCs/>
        </w:rPr>
        <w:tab/>
      </w:r>
      <w:r w:rsidRPr="006D3942">
        <w:rPr>
          <w:rStyle w:val="NoteRefInNote"/>
        </w:rPr>
        <w:footnoteRef/>
      </w:r>
      <w:r w:rsidRPr="006D3942">
        <w:rPr>
          <w:iCs/>
        </w:rPr>
        <w:t>. </w:t>
      </w:r>
      <w:r w:rsidRPr="006D3942">
        <w:rPr>
          <w:i/>
          <w:iCs/>
        </w:rPr>
        <w:t>See</w:t>
      </w:r>
      <w:r w:rsidR="005320EC">
        <w:rPr>
          <w:i/>
          <w:iCs/>
        </w:rPr>
        <w:t>, e.g.</w:t>
      </w:r>
      <w:r w:rsidR="005320EC" w:rsidRPr="00564984">
        <w:t>,</w:t>
      </w:r>
      <w:r w:rsidRPr="006D3942">
        <w:t xml:space="preserve"> Mary Holper, </w:t>
      </w:r>
      <w:r w:rsidRPr="006D3942">
        <w:rPr>
          <w:i/>
          <w:iCs/>
        </w:rPr>
        <w:t xml:space="preserve">Taking Liberty Decisions Away from </w:t>
      </w:r>
      <w:r>
        <w:rPr>
          <w:i/>
          <w:iCs/>
        </w:rPr>
        <w:t>“</w:t>
      </w:r>
      <w:r w:rsidRPr="006D3942">
        <w:rPr>
          <w:i/>
          <w:iCs/>
        </w:rPr>
        <w:t>Imitation</w:t>
      </w:r>
      <w:r>
        <w:rPr>
          <w:i/>
          <w:iCs/>
        </w:rPr>
        <w:t>”</w:t>
      </w:r>
      <w:r w:rsidRPr="006D3942">
        <w:rPr>
          <w:i/>
          <w:iCs/>
        </w:rPr>
        <w:t xml:space="preserve"> Judges</w:t>
      </w:r>
      <w:r w:rsidRPr="006D3942">
        <w:t xml:space="preserve">, 80 </w:t>
      </w:r>
      <w:r w:rsidRPr="006D3942">
        <w:rPr>
          <w:smallCaps/>
        </w:rPr>
        <w:t>Md. L. Rev.</w:t>
      </w:r>
      <w:r w:rsidRPr="006D3942">
        <w:t xml:space="preserve"> 1076, 1081–</w:t>
      </w:r>
      <w:r w:rsidR="005320EC">
        <w:t>100</w:t>
      </w:r>
      <w:r w:rsidRPr="006D3942">
        <w:t xml:space="preserve"> (2021) (summarizing ways in which the independence of immigration judges suffers under the current system).</w:t>
      </w:r>
    </w:p>
  </w:footnote>
  <w:footnote w:id="10">
    <w:p w14:paraId="74A7186A" w14:textId="4C9020BB" w:rsidR="00D132F2" w:rsidRDefault="00B053B5" w:rsidP="00695136">
      <w:pPr>
        <w:pStyle w:val="FootNote"/>
      </w:pPr>
      <w:r>
        <w:tab/>
      </w:r>
      <w:r w:rsidR="005320EC" w:rsidRPr="001E6745">
        <w:rPr>
          <w:rStyle w:val="NoteRefInNote"/>
        </w:rPr>
        <w:footnoteRef/>
      </w:r>
      <w:r>
        <w:t>. </w:t>
      </w:r>
      <w:r w:rsidR="005320EC" w:rsidRPr="00B053B5">
        <w:rPr>
          <w:rStyle w:val="normaltextrun"/>
          <w:i/>
          <w:iCs/>
          <w:color w:val="000000"/>
          <w:szCs w:val="17"/>
          <w:shd w:val="clear" w:color="auto" w:fill="FFFFFF"/>
        </w:rPr>
        <w:t>About Zoe: Congresswoman Zoe Lofgren</w:t>
      </w:r>
      <w:r w:rsidR="005320EC" w:rsidRPr="00B053B5">
        <w:rPr>
          <w:rStyle w:val="normaltextrun"/>
          <w:color w:val="000000"/>
          <w:szCs w:val="17"/>
          <w:shd w:val="clear" w:color="auto" w:fill="FFFFFF"/>
        </w:rPr>
        <w:t xml:space="preserve">, </w:t>
      </w:r>
      <w:r w:rsidR="002D2320" w:rsidRPr="00B053B5">
        <w:rPr>
          <w:rStyle w:val="normaltextrun"/>
          <w:smallCaps/>
          <w:color w:val="000000"/>
          <w:szCs w:val="17"/>
          <w:shd w:val="clear" w:color="auto" w:fill="FFFFFF"/>
        </w:rPr>
        <w:t>U.S.</w:t>
      </w:r>
      <w:r w:rsidR="005320EC" w:rsidRPr="00B053B5">
        <w:rPr>
          <w:rStyle w:val="normaltextrun"/>
          <w:smallCaps/>
          <w:color w:val="000000"/>
          <w:szCs w:val="17"/>
          <w:shd w:val="clear" w:color="auto" w:fill="FFFFFF"/>
        </w:rPr>
        <w:t xml:space="preserve"> Congresswoman Zoe Lofgren</w:t>
      </w:r>
      <w:r w:rsidR="005320EC" w:rsidRPr="00B053B5">
        <w:rPr>
          <w:rStyle w:val="normaltextrun"/>
          <w:color w:val="000000"/>
          <w:szCs w:val="17"/>
          <w:shd w:val="clear" w:color="auto" w:fill="FFFFFF"/>
        </w:rPr>
        <w:t>, https://lofgren.house.gov/about [https://perma.cc/C3Y5-T7B3]</w:t>
      </w:r>
      <w:r w:rsidR="002D2320" w:rsidRPr="00B053B5">
        <w:rPr>
          <w:rStyle w:val="normaltextrun"/>
          <w:color w:val="000000"/>
          <w:szCs w:val="17"/>
          <w:shd w:val="clear" w:color="auto" w:fill="FFFFFF"/>
        </w:rPr>
        <w:t>.</w:t>
      </w:r>
    </w:p>
  </w:footnote>
  <w:footnote w:id="11">
    <w:p w14:paraId="04685A8C" w14:textId="4C8397A3" w:rsidR="006D3942" w:rsidRPr="006D3942" w:rsidRDefault="006D3942" w:rsidP="00695136">
      <w:pPr>
        <w:pStyle w:val="FootNote"/>
      </w:pPr>
      <w:r w:rsidRPr="006D3942">
        <w:tab/>
      </w:r>
      <w:r w:rsidRPr="006D3942">
        <w:rPr>
          <w:rStyle w:val="NoteRefInNote"/>
        </w:rPr>
        <w:footnoteRef/>
      </w:r>
      <w:r w:rsidRPr="006D3942">
        <w:t>. Press Release, Zoe Lofgren, House of Representatives, Lofgren Introduces Landmark Legis</w:t>
      </w:r>
      <w:r w:rsidR="00C039DF">
        <w:t>lation</w:t>
      </w:r>
      <w:r w:rsidRPr="006D3942">
        <w:t xml:space="preserve"> to Reform the U.S.</w:t>
      </w:r>
      <w:r w:rsidR="00C039DF">
        <w:t xml:space="preserve"> Immigration</w:t>
      </w:r>
      <w:r w:rsidRPr="006D3942">
        <w:t xml:space="preserve"> C</w:t>
      </w:r>
      <w:r w:rsidR="00C039DF">
        <w:t>ourt</w:t>
      </w:r>
      <w:r w:rsidRPr="006D3942">
        <w:t xml:space="preserve"> Sys</w:t>
      </w:r>
      <w:r w:rsidR="00C039DF">
        <w:t>tem</w:t>
      </w:r>
      <w:r w:rsidRPr="006D3942">
        <w:t xml:space="preserve"> (Feb. 3, 2022) </w:t>
      </w:r>
      <w:r w:rsidR="005320EC">
        <w:t xml:space="preserve">[hereinafter Lofgren Press Release], </w:t>
      </w:r>
      <w:r w:rsidRPr="006D3942">
        <w:t>https://lofgren.house.gov/media/press-releases/lofgren-introduces-landmark-legislation-reform-us-immigration-court-system</w:t>
      </w:r>
      <w:r w:rsidR="00024FD4">
        <w:t xml:space="preserve"> [https://perma.cc/AUQ3-4TNS]</w:t>
      </w:r>
      <w:r w:rsidRPr="006D3942">
        <w:t>.</w:t>
      </w:r>
    </w:p>
  </w:footnote>
  <w:footnote w:id="12">
    <w:p w14:paraId="01313AE3" w14:textId="6215CE96" w:rsidR="009F4E20" w:rsidRDefault="00B053B5" w:rsidP="00695136">
      <w:pPr>
        <w:pStyle w:val="FootNote"/>
      </w:pPr>
      <w:r w:rsidRPr="001E6745">
        <w:tab/>
      </w:r>
      <w:r w:rsidR="005320EC" w:rsidRPr="001E6745">
        <w:rPr>
          <w:rStyle w:val="NoteRefInNote"/>
        </w:rPr>
        <w:footnoteRef/>
      </w:r>
      <w:r w:rsidRPr="001E6745">
        <w:t>. </w:t>
      </w:r>
      <w:r w:rsidR="005320EC" w:rsidRPr="00B053B5">
        <w:rPr>
          <w:i/>
          <w:iCs/>
        </w:rPr>
        <w:t>Id.</w:t>
      </w:r>
    </w:p>
  </w:footnote>
  <w:footnote w:id="13">
    <w:p w14:paraId="19DE73B2" w14:textId="0481C635"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t xml:space="preserve">Dana Leigh Marks, </w:t>
      </w:r>
      <w:r w:rsidRPr="006D3942">
        <w:rPr>
          <w:i/>
          <w:iCs/>
        </w:rPr>
        <w:t>An Urgent Priority: Why Congress Should Establish an Article</w:t>
      </w:r>
      <w:r w:rsidR="001E6745">
        <w:rPr>
          <w:i/>
          <w:iCs/>
        </w:rPr>
        <w:t xml:space="preserve"> </w:t>
      </w:r>
      <w:r w:rsidRPr="006D3942">
        <w:rPr>
          <w:i/>
          <w:iCs/>
        </w:rPr>
        <w:t>I Immigration Court</w:t>
      </w:r>
      <w:r w:rsidRPr="006D3942">
        <w:t xml:space="preserve">, 13 </w:t>
      </w:r>
      <w:r w:rsidRPr="006D3942">
        <w:rPr>
          <w:smallCaps/>
        </w:rPr>
        <w:t>Bender</w:t>
      </w:r>
      <w:r>
        <w:rPr>
          <w:smallCaps/>
        </w:rPr>
        <w:t>’</w:t>
      </w:r>
      <w:r w:rsidRPr="006D3942">
        <w:rPr>
          <w:smallCaps/>
        </w:rPr>
        <w:t>s Immigr</w:t>
      </w:r>
      <w:r w:rsidR="0064278A">
        <w:rPr>
          <w:smallCaps/>
        </w:rPr>
        <w:t>.</w:t>
      </w:r>
      <w:r w:rsidRPr="006D3942">
        <w:rPr>
          <w:smallCaps/>
        </w:rPr>
        <w:t xml:space="preserve"> Bull</w:t>
      </w:r>
      <w:r w:rsidR="0064278A">
        <w:rPr>
          <w:smallCaps/>
        </w:rPr>
        <w:t>.</w:t>
      </w:r>
      <w:r w:rsidR="0064278A">
        <w:t xml:space="preserve"> 3, 3 &amp; n.1 (2008)</w:t>
      </w:r>
      <w:r w:rsidRPr="006D3942">
        <w:t>.</w:t>
      </w:r>
    </w:p>
  </w:footnote>
  <w:footnote w:id="14">
    <w:p w14:paraId="06093C6C" w14:textId="1260D4BC" w:rsidR="006D3942" w:rsidRPr="006D3942" w:rsidRDefault="006D3942" w:rsidP="00695136">
      <w:pPr>
        <w:pStyle w:val="FootNote"/>
      </w:pPr>
      <w:r w:rsidRPr="006D3942">
        <w:tab/>
      </w:r>
      <w:r w:rsidRPr="006D3942">
        <w:rPr>
          <w:rStyle w:val="NoteRefInNote"/>
        </w:rPr>
        <w:footnoteRef/>
      </w:r>
      <w:r w:rsidRPr="006D3942">
        <w:t>. Real Courts, Rule of Law Act of 2024, H.R. 7724, 118th Cong. (2024).</w:t>
      </w:r>
      <w:r w:rsidR="00CC365D">
        <w:t xml:space="preserve"> </w:t>
      </w:r>
    </w:p>
  </w:footnote>
  <w:footnote w:id="15">
    <w:p w14:paraId="12E35517" w14:textId="20E3461F"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E.g.</w:t>
      </w:r>
      <w:r w:rsidR="004F43E6" w:rsidRPr="00564984">
        <w:t>,</w:t>
      </w:r>
      <w:r w:rsidRPr="00564984">
        <w:t xml:space="preserve"> </w:t>
      </w:r>
      <w:r w:rsidRPr="006D3942">
        <w:t xml:space="preserve">Maurice A. Roberts, </w:t>
      </w:r>
      <w:r w:rsidRPr="006D3942">
        <w:rPr>
          <w:i/>
          <w:iCs/>
        </w:rPr>
        <w:t>Proposed: A Specialized Statutory Immigration Court</w:t>
      </w:r>
      <w:r w:rsidRPr="006D3942">
        <w:t xml:space="preserve">, 18 </w:t>
      </w:r>
      <w:r w:rsidRPr="006D3942">
        <w:rPr>
          <w:smallCaps/>
        </w:rPr>
        <w:t>San Diego L. Rev.</w:t>
      </w:r>
      <w:r w:rsidRPr="006D3942">
        <w:t xml:space="preserve"> 1, </w:t>
      </w:r>
      <w:r w:rsidR="004F43E6">
        <w:t>18</w:t>
      </w:r>
      <w:r w:rsidRPr="006D3942">
        <w:t xml:space="preserve"> (1980).</w:t>
      </w:r>
    </w:p>
  </w:footnote>
  <w:footnote w:id="16">
    <w:p w14:paraId="6D7BABE1" w14:textId="60B656AD" w:rsidR="006D3942" w:rsidRPr="006D3942" w:rsidRDefault="006D3942" w:rsidP="00695136">
      <w:pPr>
        <w:pStyle w:val="FootNote"/>
      </w:pPr>
      <w:r w:rsidRPr="006D3942">
        <w:tab/>
      </w:r>
      <w:r w:rsidRPr="006D3942">
        <w:rPr>
          <w:rStyle w:val="NoteRefInNote"/>
        </w:rPr>
        <w:footnoteRef/>
      </w:r>
      <w:r w:rsidRPr="006D3942">
        <w:t>. </w:t>
      </w:r>
      <w:r w:rsidR="005320EC">
        <w:t>Lofgren Press Release</w:t>
      </w:r>
      <w:r w:rsidRPr="006D3942">
        <w:t xml:space="preserve">, </w:t>
      </w:r>
      <w:r w:rsidRPr="006D3942">
        <w:rPr>
          <w:i/>
          <w:iCs/>
        </w:rPr>
        <w:t>supra</w:t>
      </w:r>
      <w:r w:rsidRPr="006D3942">
        <w:t xml:space="preserve"> note </w:t>
      </w:r>
      <w:r w:rsidR="00152D2B">
        <w:fldChar w:fldCharType="begin"/>
      </w:r>
      <w:r w:rsidR="00152D2B">
        <w:instrText xml:space="preserve"> NOTEREF _Ref177479185 \h </w:instrText>
      </w:r>
      <w:r w:rsidR="001E6745">
        <w:instrText xml:space="preserve"> \* MERGEFORMAT </w:instrText>
      </w:r>
      <w:r w:rsidR="00152D2B">
        <w:fldChar w:fldCharType="separate"/>
      </w:r>
      <w:r w:rsidR="00102CC5">
        <w:t>11</w:t>
      </w:r>
      <w:r w:rsidR="00152D2B">
        <w:fldChar w:fldCharType="end"/>
      </w:r>
      <w:r w:rsidRPr="006D3942">
        <w:t>.</w:t>
      </w:r>
    </w:p>
  </w:footnote>
  <w:footnote w:id="17">
    <w:p w14:paraId="3C7DDAC3" w14:textId="5EF6A4DE"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w:t>
      </w:r>
      <w:r w:rsidRPr="006D3942">
        <w:rPr>
          <w:i/>
          <w:iCs/>
        </w:rPr>
        <w:t xml:space="preserve">generally </w:t>
      </w:r>
      <w:r w:rsidRPr="006D3942">
        <w:t>Glenn E. Pasvogel</w:t>
      </w:r>
      <w:r w:rsidR="004F43E6">
        <w:t>,</w:t>
      </w:r>
      <w:r w:rsidRPr="006D3942">
        <w:t xml:space="preserve"> Jr., </w:t>
      </w:r>
      <w:r w:rsidRPr="006D3942">
        <w:rPr>
          <w:i/>
          <w:iCs/>
        </w:rPr>
        <w:t>The Bankruptcy Reform Act of 1978</w:t>
      </w:r>
      <w:r w:rsidR="004F43E6">
        <w:rPr>
          <w:i/>
          <w:iCs/>
        </w:rPr>
        <w:t>—</w:t>
      </w:r>
      <w:r w:rsidRPr="006D3942">
        <w:rPr>
          <w:i/>
          <w:iCs/>
        </w:rPr>
        <w:t>A Review and Comments</w:t>
      </w:r>
      <w:r w:rsidRPr="006D3942">
        <w:t xml:space="preserve">, 3 </w:t>
      </w:r>
      <w:r w:rsidRPr="006D3942">
        <w:rPr>
          <w:smallCaps/>
        </w:rPr>
        <w:t>U. Ark. Little Rock L.</w:t>
      </w:r>
      <w:r w:rsidR="004F43E6">
        <w:rPr>
          <w:smallCaps/>
        </w:rPr>
        <w:t>J</w:t>
      </w:r>
      <w:r w:rsidRPr="006D3942">
        <w:rPr>
          <w:smallCaps/>
        </w:rPr>
        <w:t xml:space="preserve">. </w:t>
      </w:r>
      <w:r w:rsidRPr="006D3942">
        <w:t>13 (1980) (outlining the history of the Bankruptcy Reform Act).</w:t>
      </w:r>
    </w:p>
  </w:footnote>
  <w:footnote w:id="18">
    <w:p w14:paraId="472E1543" w14:textId="3A5F232C" w:rsidR="006D3942" w:rsidRPr="006D3942" w:rsidRDefault="006D3942" w:rsidP="00695136">
      <w:pPr>
        <w:pStyle w:val="FootNote"/>
      </w:pPr>
      <w:r w:rsidRPr="006D3942">
        <w:tab/>
      </w:r>
      <w:r w:rsidRPr="006D3942">
        <w:rPr>
          <w:rStyle w:val="NoteRefInNote"/>
        </w:rPr>
        <w:footnoteRef/>
      </w:r>
      <w:r w:rsidRPr="006D3942">
        <w:t>. </w:t>
      </w:r>
      <w:r w:rsidR="004F43E6" w:rsidRPr="00564984">
        <w:rPr>
          <w:i/>
          <w:iCs/>
        </w:rPr>
        <w:t>See</w:t>
      </w:r>
      <w:r w:rsidR="004F43E6">
        <w:t xml:space="preserve"> </w:t>
      </w:r>
      <w:r w:rsidRPr="006D3942">
        <w:t xml:space="preserve">Daniel Buteyn, </w:t>
      </w:r>
      <w:r w:rsidR="004F43E6">
        <w:t>Note</w:t>
      </w:r>
      <w:r w:rsidRPr="006D3942">
        <w:t xml:space="preserve">, </w:t>
      </w:r>
      <w:r w:rsidRPr="006D3942">
        <w:rPr>
          <w:i/>
          <w:iCs/>
        </w:rPr>
        <w:t>The Immigration Judiciary</w:t>
      </w:r>
      <w:r>
        <w:rPr>
          <w:i/>
          <w:iCs/>
        </w:rPr>
        <w:t>’</w:t>
      </w:r>
      <w:r w:rsidRPr="006D3942">
        <w:rPr>
          <w:i/>
          <w:iCs/>
        </w:rPr>
        <w:t>s Need for Independence: Breaking Free from the Shackles of the Attorney General and the Powers of the Executive Branch</w:t>
      </w:r>
      <w:r w:rsidRPr="006D3942">
        <w:t xml:space="preserve">, 46 </w:t>
      </w:r>
      <w:r w:rsidRPr="006D3942">
        <w:rPr>
          <w:smallCaps/>
        </w:rPr>
        <w:t>Mitchell Hamline L. Rev.</w:t>
      </w:r>
      <w:r w:rsidRPr="006D3942">
        <w:t xml:space="preserve"> 958, 961–6</w:t>
      </w:r>
      <w:r w:rsidR="004F43E6">
        <w:t>7</w:t>
      </w:r>
      <w:r w:rsidRPr="006D3942">
        <w:t xml:space="preserve"> (2020)</w:t>
      </w:r>
      <w:r w:rsidR="004F43E6">
        <w:t xml:space="preserve"> (describing the history of immigration adjudication)</w:t>
      </w:r>
      <w:r w:rsidRPr="006D3942">
        <w:t>.</w:t>
      </w:r>
      <w:r w:rsidR="004F43E6">
        <w:t xml:space="preserve"> </w:t>
      </w:r>
    </w:p>
  </w:footnote>
  <w:footnote w:id="19">
    <w:p w14:paraId="6BCF48AC" w14:textId="22BDDA8B" w:rsidR="006D3942" w:rsidRPr="004F43E6"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4F43E6">
        <w:rPr>
          <w:i/>
          <w:iCs/>
        </w:rPr>
        <w:t xml:space="preserve"> </w:t>
      </w:r>
      <w:r w:rsidR="004F43E6" w:rsidRPr="00564984">
        <w:t>at 961–66.</w:t>
      </w:r>
    </w:p>
  </w:footnote>
  <w:footnote w:id="20">
    <w:p w14:paraId="1FE4A38C" w14:textId="4DD4261E" w:rsidR="006D3942" w:rsidRPr="006D3942" w:rsidRDefault="006D3942" w:rsidP="00695136">
      <w:pPr>
        <w:pStyle w:val="FootNote"/>
      </w:pPr>
      <w:r w:rsidRPr="006D3942">
        <w:rPr>
          <w:iCs/>
        </w:rPr>
        <w:tab/>
      </w:r>
      <w:r w:rsidRPr="006D3942">
        <w:rPr>
          <w:rStyle w:val="NoteRefInNote"/>
        </w:rPr>
        <w:footnoteRef/>
      </w:r>
      <w:r w:rsidRPr="006D3942">
        <w:rPr>
          <w:iCs/>
        </w:rPr>
        <w:t>. </w:t>
      </w:r>
      <w:r w:rsidR="004F43E6">
        <w:rPr>
          <w:i/>
          <w:iCs/>
        </w:rPr>
        <w:t>See</w:t>
      </w:r>
      <w:r w:rsidRPr="006D3942">
        <w:t xml:space="preserve"> Galvan v. Press, 347 U.S. 522, 531 (1954)</w:t>
      </w:r>
      <w:r w:rsidR="004F43E6">
        <w:t xml:space="preserve"> (“[Immigration policies] are peculiarly concerned with the political conduct of government. . . . [T]hat the formulation of these policies is entrusted exclusively to Congress [is]</w:t>
      </w:r>
      <w:r w:rsidR="003157C4">
        <w:t xml:space="preserve"> </w:t>
      </w:r>
      <w:r w:rsidR="004F43E6">
        <w:t>. . . firmly imbedded in the legislative and judicial tissues of our body politic</w:t>
      </w:r>
      <w:r w:rsidR="00871D70">
        <w:t xml:space="preserve"> </w:t>
      </w:r>
      <w:r w:rsidR="004F43E6">
        <w:t>. . . .”)</w:t>
      </w:r>
      <w:r w:rsidRPr="006D3942">
        <w:t>.</w:t>
      </w:r>
    </w:p>
  </w:footnote>
  <w:footnote w:id="21">
    <w:p w14:paraId="6E3AD56A" w14:textId="35361547"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at 530</w:t>
      </w:r>
      <w:r w:rsidR="004F43E6">
        <w:t>–31</w:t>
      </w:r>
      <w:r w:rsidRPr="006D3942">
        <w:t xml:space="preserve"> (quoting Fong Haw Tan v. Phelan, 333 U.S. 6, 10 (1948)). The </w:t>
      </w:r>
      <w:r w:rsidR="002D730A">
        <w:t>C</w:t>
      </w:r>
      <w:r w:rsidRPr="006D3942">
        <w:t xml:space="preserve">ourt also recognized that </w:t>
      </w:r>
      <w:r>
        <w:t>“</w:t>
      </w:r>
      <w:r w:rsidRPr="006D3942">
        <w:t>intrinsic consequences of deportation are so close to punishment for crime</w:t>
      </w:r>
      <w:r>
        <w:t>”</w:t>
      </w:r>
      <w:r w:rsidRPr="006D3942">
        <w:t xml:space="preserve"> despite ultimately declining to extend the constitutional safeguards </w:t>
      </w:r>
      <w:r w:rsidR="002D730A">
        <w:t xml:space="preserve">due criminal defendants </w:t>
      </w:r>
      <w:r w:rsidRPr="006D3942">
        <w:t xml:space="preserve">to noncitizens facing deportation. </w:t>
      </w:r>
      <w:r w:rsidR="004F43E6">
        <w:rPr>
          <w:i/>
          <w:iCs/>
        </w:rPr>
        <w:t>Id.</w:t>
      </w:r>
      <w:r w:rsidRPr="006D3942">
        <w:t xml:space="preserve"> at 531.</w:t>
      </w:r>
    </w:p>
  </w:footnote>
  <w:footnote w:id="22">
    <w:p w14:paraId="22F26252" w14:textId="76DB0DEC" w:rsidR="006D3942" w:rsidRPr="006D3942" w:rsidRDefault="006D3942" w:rsidP="00695136">
      <w:pPr>
        <w:pStyle w:val="FootNote"/>
      </w:pPr>
      <w:r w:rsidRPr="006D3942">
        <w:tab/>
      </w:r>
      <w:r w:rsidRPr="006D3942">
        <w:rPr>
          <w:rStyle w:val="NoteRefInNote"/>
        </w:rPr>
        <w:footnoteRef/>
      </w:r>
      <w:r w:rsidRPr="006D3942">
        <w:t xml:space="preserve">. Mimi Tsankov, </w:t>
      </w:r>
      <w:r w:rsidRPr="006D3942">
        <w:rPr>
          <w:i/>
          <w:iCs/>
        </w:rPr>
        <w:t>The Immigration Court: Zigzagging on the Road to Judicial Independence</w:t>
      </w:r>
      <w:r w:rsidRPr="006D3942">
        <w:t xml:space="preserve">, 93 </w:t>
      </w:r>
      <w:r w:rsidRPr="006D3942">
        <w:rPr>
          <w:smallCaps/>
        </w:rPr>
        <w:t>U. Colo. L. Rev.</w:t>
      </w:r>
      <w:r w:rsidRPr="006D3942">
        <w:t xml:space="preserve"> 303, 305 (2022) (citing 8 C.F.R. </w:t>
      </w:r>
      <w:r>
        <w:t>§ </w:t>
      </w:r>
      <w:r w:rsidRPr="006D3942">
        <w:t>1003.0(a) (2021)).</w:t>
      </w:r>
    </w:p>
  </w:footnote>
  <w:footnote w:id="23">
    <w:p w14:paraId="2A956F8A" w14:textId="6ED512DE" w:rsidR="006D3942" w:rsidRPr="006D3942" w:rsidRDefault="006D3942" w:rsidP="00695136">
      <w:pPr>
        <w:pStyle w:val="FootNote"/>
      </w:pPr>
      <w:r w:rsidRPr="006D3942">
        <w:tab/>
      </w:r>
      <w:r w:rsidRPr="006D3942">
        <w:rPr>
          <w:rStyle w:val="NoteRefInNote"/>
        </w:rPr>
        <w:footnoteRef/>
      </w:r>
      <w:r w:rsidRPr="006D3942">
        <w:t>. </w:t>
      </w:r>
      <w:r w:rsidR="004F43E6" w:rsidRPr="00564984">
        <w:rPr>
          <w:i/>
          <w:iCs/>
        </w:rPr>
        <w:t>See</w:t>
      </w:r>
      <w:r w:rsidR="004F43E6">
        <w:t xml:space="preserve"> </w:t>
      </w:r>
      <w:r w:rsidRPr="006D3942">
        <w:t xml:space="preserve">Stephen H. Legomsky, </w:t>
      </w:r>
      <w:r w:rsidRPr="006D3942">
        <w:rPr>
          <w:i/>
          <w:iCs/>
        </w:rPr>
        <w:t>Restructuring Immigration Adjudication</w:t>
      </w:r>
      <w:r w:rsidRPr="006D3942">
        <w:t xml:space="preserve">, 59 </w:t>
      </w:r>
      <w:r w:rsidRPr="006D3942">
        <w:rPr>
          <w:smallCaps/>
        </w:rPr>
        <w:t>Duke L.J.</w:t>
      </w:r>
      <w:r w:rsidRPr="006D3942">
        <w:t xml:space="preserve"> 1635, 1650 (2010)</w:t>
      </w:r>
      <w:r w:rsidR="004F43E6">
        <w:t xml:space="preserve"> (contrasting the lack of evidence “that the general public has any particular view of the immigration adjudication procedures” with the “commonplace” expert criticisms of the system)</w:t>
      </w:r>
      <w:r w:rsidRPr="006D3942">
        <w:t>.</w:t>
      </w:r>
      <w:r w:rsidR="004F43E6">
        <w:t xml:space="preserve"> </w:t>
      </w:r>
    </w:p>
  </w:footnote>
  <w:footnote w:id="24">
    <w:p w14:paraId="41E4C791" w14:textId="1ACF5F32" w:rsidR="006D3942" w:rsidRPr="004F43E6" w:rsidRDefault="006D3942" w:rsidP="00695136">
      <w:pPr>
        <w:pStyle w:val="FootNote"/>
      </w:pPr>
      <w:r w:rsidRPr="006D3942">
        <w:rPr>
          <w:iCs/>
        </w:rPr>
        <w:tab/>
      </w:r>
      <w:r w:rsidRPr="006D3942">
        <w:rPr>
          <w:rStyle w:val="NoteRefInNote"/>
        </w:rPr>
        <w:footnoteRef/>
      </w:r>
      <w:r w:rsidRPr="006D3942">
        <w:rPr>
          <w:iCs/>
        </w:rPr>
        <w:t>. </w:t>
      </w:r>
      <w:r w:rsidR="0020099C">
        <w:rPr>
          <w:i/>
          <w:iCs/>
        </w:rPr>
        <w:t>See i</w:t>
      </w:r>
      <w:r w:rsidRPr="006D3942">
        <w:rPr>
          <w:i/>
          <w:iCs/>
        </w:rPr>
        <w:t>d.</w:t>
      </w:r>
      <w:r w:rsidR="004F43E6">
        <w:rPr>
          <w:i/>
          <w:iCs/>
        </w:rPr>
        <w:t xml:space="preserve"> </w:t>
      </w:r>
      <w:r w:rsidR="004F43E6" w:rsidRPr="00564984">
        <w:t>at 1667–</w:t>
      </w:r>
      <w:r w:rsidR="00257947">
        <w:t>6</w:t>
      </w:r>
      <w:r w:rsidR="004F43E6" w:rsidRPr="00564984">
        <w:t>8, 1671–72</w:t>
      </w:r>
      <w:r w:rsidR="0020099C">
        <w:t xml:space="preserve"> (describing “the erosion of the immigration judges’ and the BIA members’ job security and the real and perceived effects o</w:t>
      </w:r>
      <w:r w:rsidR="00257947">
        <w:t>f</w:t>
      </w:r>
      <w:r w:rsidR="0020099C">
        <w:t xml:space="preserve"> that erosion on their decisional independence” as a recurring effect of the Executive Branch’s involvement in immigration courts).</w:t>
      </w:r>
    </w:p>
  </w:footnote>
  <w:footnote w:id="25">
    <w:p w14:paraId="33B82DB2" w14:textId="72CC88A3" w:rsidR="006D3942" w:rsidRPr="006D3942" w:rsidRDefault="006D3942" w:rsidP="00695136">
      <w:pPr>
        <w:pStyle w:val="FootNote"/>
      </w:pPr>
      <w:r w:rsidRPr="006D3942">
        <w:tab/>
      </w:r>
      <w:r w:rsidRPr="006D3942">
        <w:rPr>
          <w:rStyle w:val="NoteRefInNote"/>
        </w:rPr>
        <w:footnoteRef/>
      </w:r>
      <w:r w:rsidRPr="006D3942">
        <w:t xml:space="preserve">. Buteyn, </w:t>
      </w:r>
      <w:r w:rsidRPr="006D3942">
        <w:rPr>
          <w:i/>
          <w:iCs/>
        </w:rPr>
        <w:t>supra</w:t>
      </w:r>
      <w:r w:rsidRPr="006D3942">
        <w:t xml:space="preserve"> note </w:t>
      </w:r>
      <w:r w:rsidR="00152D2B">
        <w:fldChar w:fldCharType="begin"/>
      </w:r>
      <w:r w:rsidR="00152D2B">
        <w:instrText xml:space="preserve"> NOTEREF _Ref177479220 \h </w:instrText>
      </w:r>
      <w:r w:rsidR="001E6745">
        <w:instrText xml:space="preserve"> \* MERGEFORMAT </w:instrText>
      </w:r>
      <w:r w:rsidR="00152D2B">
        <w:fldChar w:fldCharType="separate"/>
      </w:r>
      <w:r w:rsidR="00102CC5">
        <w:t>18</w:t>
      </w:r>
      <w:r w:rsidR="00152D2B">
        <w:fldChar w:fldCharType="end"/>
      </w:r>
      <w:r w:rsidRPr="006D3942">
        <w:t xml:space="preserve">, </w:t>
      </w:r>
      <w:r w:rsidRPr="006D3942">
        <w:rPr>
          <w:bdr w:val="none" w:sz="0" w:space="0" w:color="auto" w:frame="1"/>
        </w:rPr>
        <w:t>at</w:t>
      </w:r>
      <w:r w:rsidRPr="006D3942">
        <w:t xml:space="preserve"> 9</w:t>
      </w:r>
      <w:r w:rsidR="004F43E6">
        <w:t>65–6</w:t>
      </w:r>
      <w:r w:rsidRPr="006D3942">
        <w:t>6</w:t>
      </w:r>
      <w:r w:rsidR="007A7A1D">
        <w:t>.</w:t>
      </w:r>
    </w:p>
  </w:footnote>
  <w:footnote w:id="26">
    <w:p w14:paraId="7F2B69E9" w14:textId="4D2CFBC5" w:rsidR="006D3942" w:rsidRPr="006D3942" w:rsidRDefault="006D3942" w:rsidP="00695136">
      <w:pPr>
        <w:pStyle w:val="FootNote"/>
      </w:pPr>
      <w:r w:rsidRPr="006D3942">
        <w:tab/>
      </w:r>
      <w:r w:rsidRPr="006D3942">
        <w:rPr>
          <w:rStyle w:val="NoteRefInNote"/>
        </w:rPr>
        <w:footnoteRef/>
      </w:r>
      <w:r w:rsidRPr="006D3942">
        <w:t xml:space="preserve">. Christopher Manion, Note, </w:t>
      </w:r>
      <w:r w:rsidRPr="006D3942">
        <w:rPr>
          <w:i/>
          <w:iCs/>
        </w:rPr>
        <w:t>Agency Indiscretion: Judicial Review of the Immigration Courts</w:t>
      </w:r>
      <w:r w:rsidRPr="006D3942">
        <w:t xml:space="preserve">, 82 </w:t>
      </w:r>
      <w:r w:rsidRPr="006D3942">
        <w:rPr>
          <w:smallCaps/>
        </w:rPr>
        <w:t>St. John</w:t>
      </w:r>
      <w:r>
        <w:rPr>
          <w:smallCaps/>
        </w:rPr>
        <w:t>’</w:t>
      </w:r>
      <w:r w:rsidRPr="006D3942">
        <w:rPr>
          <w:smallCaps/>
        </w:rPr>
        <w:t>s L. Rev</w:t>
      </w:r>
      <w:r w:rsidRPr="006D3942">
        <w:t>. 787, 790</w:t>
      </w:r>
      <w:r w:rsidR="003C71FF">
        <w:t>–91</w:t>
      </w:r>
      <w:r w:rsidRPr="006D3942">
        <w:t xml:space="preserve"> (2008).</w:t>
      </w:r>
    </w:p>
  </w:footnote>
  <w:footnote w:id="27">
    <w:p w14:paraId="271EB1CC" w14:textId="20F2576F" w:rsidR="007A7A1D" w:rsidRPr="00C3649B" w:rsidRDefault="00B053B5" w:rsidP="00695136">
      <w:pPr>
        <w:pStyle w:val="FootNote"/>
      </w:pPr>
      <w:r w:rsidRPr="001E6745">
        <w:rPr>
          <w:szCs w:val="17"/>
        </w:rPr>
        <w:tab/>
      </w:r>
      <w:r w:rsidR="00555F26" w:rsidRPr="001E6745">
        <w:rPr>
          <w:rStyle w:val="NoteRefInNote"/>
        </w:rPr>
        <w:footnoteRef/>
      </w:r>
      <w:r w:rsidRPr="001E6745">
        <w:rPr>
          <w:szCs w:val="17"/>
        </w:rPr>
        <w:t>. </w:t>
      </w:r>
      <w:r w:rsidR="00AC55CA" w:rsidRPr="00B053B5">
        <w:rPr>
          <w:i/>
          <w:iCs/>
          <w:szCs w:val="17"/>
        </w:rPr>
        <w:t>A Historical Lens of EOIR</w:t>
      </w:r>
      <w:r w:rsidR="00AC55CA" w:rsidRPr="00B053B5">
        <w:rPr>
          <w:szCs w:val="17"/>
        </w:rPr>
        <w:t>,</w:t>
      </w:r>
      <w:r w:rsidR="00555F26" w:rsidRPr="00B053B5">
        <w:rPr>
          <w:szCs w:val="17"/>
        </w:rPr>
        <w:t xml:space="preserve"> </w:t>
      </w:r>
      <w:r w:rsidR="00EE1E92" w:rsidRPr="00B053B5">
        <w:rPr>
          <w:smallCaps/>
          <w:szCs w:val="17"/>
        </w:rPr>
        <w:t>Exec. Off. for Immigr. Rev.</w:t>
      </w:r>
      <w:r w:rsidR="00EE1E92" w:rsidRPr="00B053B5">
        <w:rPr>
          <w:szCs w:val="17"/>
        </w:rPr>
        <w:t xml:space="preserve">, </w:t>
      </w:r>
      <w:r w:rsidRPr="001E6745">
        <w:t>https://www.justice.gov</w:t>
      </w:r>
      <w:r w:rsidRPr="001E6745">
        <w:br/>
      </w:r>
      <w:r w:rsidR="003157C4" w:rsidRPr="001E6745">
        <w:t>/eoir/strategic-plan/organizational-overview/historical-lens</w:t>
      </w:r>
      <w:r w:rsidR="00EE1E92" w:rsidRPr="00B053B5">
        <w:rPr>
          <w:szCs w:val="17"/>
        </w:rPr>
        <w:t xml:space="preserve"> [https://perma.cc/WDP2-UDGZ].</w:t>
      </w:r>
    </w:p>
  </w:footnote>
  <w:footnote w:id="28">
    <w:p w14:paraId="723DAF41" w14:textId="71FA1FAC" w:rsidR="008C0072" w:rsidRPr="00555F26" w:rsidRDefault="008C0072" w:rsidP="00695136">
      <w:pPr>
        <w:pStyle w:val="FootNote"/>
        <w:rPr>
          <w:szCs w:val="17"/>
        </w:rPr>
      </w:pPr>
      <w:r w:rsidRPr="001E6745">
        <w:rPr>
          <w:szCs w:val="17"/>
        </w:rPr>
        <w:tab/>
      </w:r>
      <w:r w:rsidRPr="00555F26">
        <w:rPr>
          <w:rStyle w:val="NoteRefInNote"/>
          <w:szCs w:val="17"/>
        </w:rPr>
        <w:footnoteRef/>
      </w:r>
      <w:r w:rsidRPr="00555F26">
        <w:rPr>
          <w:szCs w:val="17"/>
        </w:rPr>
        <w:t>. </w:t>
      </w:r>
      <w:r w:rsidRPr="00555F26">
        <w:rPr>
          <w:i/>
          <w:iCs/>
          <w:szCs w:val="17"/>
        </w:rPr>
        <w:t>See</w:t>
      </w:r>
      <w:r w:rsidRPr="00555F26">
        <w:rPr>
          <w:szCs w:val="17"/>
        </w:rPr>
        <w:t xml:space="preserve"> Note, </w:t>
      </w:r>
      <w:r w:rsidRPr="00555F26">
        <w:rPr>
          <w:i/>
          <w:iCs/>
          <w:szCs w:val="17"/>
        </w:rPr>
        <w:t>Courts in Name Only: Repairing America’s Immigration Adjudication System</w:t>
      </w:r>
      <w:r w:rsidRPr="00555F26">
        <w:rPr>
          <w:szCs w:val="17"/>
        </w:rPr>
        <w:t xml:space="preserve">, 136 </w:t>
      </w:r>
      <w:r w:rsidRPr="00555F26">
        <w:rPr>
          <w:smallCaps/>
          <w:szCs w:val="17"/>
        </w:rPr>
        <w:t>Harv. L. Rev.</w:t>
      </w:r>
      <w:r w:rsidRPr="00555F26">
        <w:rPr>
          <w:szCs w:val="17"/>
        </w:rPr>
        <w:t xml:space="preserve"> 908, 909 (2023) (describing the source and scope of </w:t>
      </w:r>
      <w:r w:rsidR="00EE1E92">
        <w:rPr>
          <w:szCs w:val="17"/>
        </w:rPr>
        <w:t>the authority of IJs</w:t>
      </w:r>
      <w:r w:rsidRPr="00555F26">
        <w:rPr>
          <w:szCs w:val="17"/>
        </w:rPr>
        <w:t xml:space="preserve">). </w:t>
      </w:r>
    </w:p>
  </w:footnote>
  <w:footnote w:id="29">
    <w:p w14:paraId="02A0AB6E" w14:textId="05AFC393" w:rsidR="007A7A1D" w:rsidRPr="00555F26" w:rsidRDefault="00B053B5" w:rsidP="00695136">
      <w:pPr>
        <w:pStyle w:val="FootNote"/>
      </w:pPr>
      <w:r w:rsidRPr="001E6745">
        <w:tab/>
      </w:r>
      <w:r w:rsidR="008C0072" w:rsidRPr="001E6745">
        <w:rPr>
          <w:rStyle w:val="NoteRefInNote"/>
        </w:rPr>
        <w:footnoteRef/>
      </w:r>
      <w:r w:rsidRPr="001E6745">
        <w:t>. </w:t>
      </w:r>
      <w:r w:rsidR="008C0072" w:rsidRPr="00B053B5">
        <w:rPr>
          <w:i/>
          <w:iCs/>
        </w:rPr>
        <w:t>About Federal Judges</w:t>
      </w:r>
      <w:r w:rsidR="008C0072" w:rsidRPr="00B053B5">
        <w:t xml:space="preserve">, </w:t>
      </w:r>
      <w:r w:rsidR="00EE1E92" w:rsidRPr="00B053B5">
        <w:rPr>
          <w:smallCaps/>
        </w:rPr>
        <w:t>U.S.</w:t>
      </w:r>
      <w:r w:rsidR="008C0072" w:rsidRPr="00B053B5">
        <w:rPr>
          <w:smallCaps/>
        </w:rPr>
        <w:t xml:space="preserve"> </w:t>
      </w:r>
      <w:r w:rsidR="00EE1E92" w:rsidRPr="00B053B5">
        <w:rPr>
          <w:smallCaps/>
        </w:rPr>
        <w:t>Cts.</w:t>
      </w:r>
      <w:r w:rsidR="008C0072" w:rsidRPr="00B053B5">
        <w:t xml:space="preserve">, </w:t>
      </w:r>
      <w:r w:rsidR="00555F26" w:rsidRPr="00B053B5">
        <w:t>https://www.uscourts.gov/judges-judgeships/about-federal-judges</w:t>
      </w:r>
      <w:r w:rsidR="008C0072" w:rsidRPr="00B053B5">
        <w:t xml:space="preserve"> [https://perma.cc/HH5B-S8ES]. </w:t>
      </w:r>
    </w:p>
  </w:footnote>
  <w:footnote w:id="30">
    <w:p w14:paraId="1C41602A" w14:textId="20750089" w:rsidR="008C0072" w:rsidRPr="00555F26" w:rsidRDefault="008C0072" w:rsidP="00695136">
      <w:pPr>
        <w:pStyle w:val="FootNote"/>
        <w:rPr>
          <w:szCs w:val="17"/>
        </w:rPr>
      </w:pPr>
      <w:r w:rsidRPr="00555F26">
        <w:rPr>
          <w:iCs/>
          <w:szCs w:val="17"/>
        </w:rPr>
        <w:tab/>
      </w:r>
      <w:r w:rsidRPr="00555F26">
        <w:rPr>
          <w:rStyle w:val="NoteRefInNote"/>
          <w:szCs w:val="17"/>
        </w:rPr>
        <w:footnoteRef/>
      </w:r>
      <w:r w:rsidRPr="00555F26">
        <w:rPr>
          <w:iCs/>
          <w:szCs w:val="17"/>
        </w:rPr>
        <w:t>. </w:t>
      </w:r>
      <w:r w:rsidRPr="00555F26">
        <w:rPr>
          <w:i/>
          <w:iCs/>
          <w:szCs w:val="17"/>
        </w:rPr>
        <w:t>Courts in Name Only</w:t>
      </w:r>
      <w:r w:rsidRPr="00555F26">
        <w:rPr>
          <w:szCs w:val="17"/>
        </w:rPr>
        <w:t xml:space="preserve">, </w:t>
      </w:r>
      <w:r w:rsidRPr="00555F26">
        <w:rPr>
          <w:i/>
          <w:iCs/>
          <w:szCs w:val="17"/>
        </w:rPr>
        <w:t>supra</w:t>
      </w:r>
      <w:r w:rsidRPr="00555F26">
        <w:rPr>
          <w:szCs w:val="17"/>
        </w:rPr>
        <w:t xml:space="preserve"> note </w:t>
      </w:r>
      <w:r w:rsidR="00EE1E92">
        <w:rPr>
          <w:szCs w:val="17"/>
        </w:rPr>
        <w:fldChar w:fldCharType="begin"/>
      </w:r>
      <w:r w:rsidR="00EE1E92">
        <w:rPr>
          <w:szCs w:val="17"/>
        </w:rPr>
        <w:instrText xml:space="preserve"> NOTEREF _Ref186561727 \h </w:instrText>
      </w:r>
      <w:r w:rsidR="001E6745">
        <w:rPr>
          <w:szCs w:val="17"/>
        </w:rPr>
        <w:instrText xml:space="preserve"> \* MERGEFORMAT </w:instrText>
      </w:r>
      <w:r w:rsidR="00EE1E92">
        <w:rPr>
          <w:szCs w:val="17"/>
        </w:rPr>
      </w:r>
      <w:r w:rsidR="00EE1E92">
        <w:rPr>
          <w:szCs w:val="17"/>
        </w:rPr>
        <w:fldChar w:fldCharType="separate"/>
      </w:r>
      <w:r w:rsidR="00102CC5">
        <w:rPr>
          <w:szCs w:val="17"/>
        </w:rPr>
        <w:t>28</w:t>
      </w:r>
      <w:r w:rsidR="00EE1E92">
        <w:rPr>
          <w:szCs w:val="17"/>
        </w:rPr>
        <w:fldChar w:fldCharType="end"/>
      </w:r>
      <w:r w:rsidRPr="00555F26">
        <w:rPr>
          <w:szCs w:val="17"/>
        </w:rPr>
        <w:t xml:space="preserve">, at 909 &amp; n.10 </w:t>
      </w:r>
      <w:r w:rsidR="00EE1E92">
        <w:rPr>
          <w:szCs w:val="17"/>
        </w:rPr>
        <w:t xml:space="preserve">(“[T]he term ‘judge’ refers not to true judicial authority but to IJs’ authority to adjudicate administrative proceedings.”). </w:t>
      </w:r>
    </w:p>
  </w:footnote>
  <w:footnote w:id="31">
    <w:p w14:paraId="1312E375" w14:textId="42EE84B1" w:rsidR="008C0072" w:rsidRPr="006D3942" w:rsidRDefault="008C0072" w:rsidP="00695136">
      <w:pPr>
        <w:pStyle w:val="FootNote"/>
      </w:pPr>
      <w:r w:rsidRPr="00555F26">
        <w:rPr>
          <w:szCs w:val="17"/>
        </w:rPr>
        <w:tab/>
      </w:r>
      <w:r w:rsidRPr="00555F26">
        <w:rPr>
          <w:rStyle w:val="NoteRefInNote"/>
          <w:szCs w:val="17"/>
        </w:rPr>
        <w:footnoteRef/>
      </w:r>
      <w:r w:rsidRPr="00555F26">
        <w:rPr>
          <w:szCs w:val="17"/>
        </w:rPr>
        <w:t>. 8 C.F.R. § 1003.10(a) (202</w:t>
      </w:r>
      <w:r w:rsidR="00D45C28">
        <w:rPr>
          <w:szCs w:val="17"/>
        </w:rPr>
        <w:t>4</w:t>
      </w:r>
      <w:r w:rsidRPr="00555F26">
        <w:rPr>
          <w:szCs w:val="17"/>
        </w:rPr>
        <w:t>).</w:t>
      </w:r>
    </w:p>
  </w:footnote>
  <w:footnote w:id="32">
    <w:p w14:paraId="3FB030CC" w14:textId="0AC9B950" w:rsidR="004140BB" w:rsidRPr="00B053B5" w:rsidRDefault="00B053B5" w:rsidP="00695136">
      <w:pPr>
        <w:pStyle w:val="FootNote"/>
      </w:pPr>
      <w:r w:rsidRPr="001E6745">
        <w:tab/>
      </w:r>
      <w:r w:rsidR="004140BB" w:rsidRPr="001E6745">
        <w:rPr>
          <w:rStyle w:val="NoteRefInNote"/>
        </w:rPr>
        <w:footnoteRef/>
      </w:r>
      <w:r w:rsidRPr="001E6745">
        <w:t>. </w:t>
      </w:r>
      <w:r w:rsidR="004140BB" w:rsidRPr="00B053B5">
        <w:rPr>
          <w:i/>
          <w:iCs/>
        </w:rPr>
        <w:t>See</w:t>
      </w:r>
      <w:r w:rsidR="004140BB" w:rsidRPr="00B053B5">
        <w:t xml:space="preserve"> </w:t>
      </w:r>
      <w:r w:rsidR="004140BB" w:rsidRPr="00B053B5">
        <w:rPr>
          <w:i/>
          <w:iCs/>
        </w:rPr>
        <w:t>Find an Immigration Court and Access Internet-Based Hearings</w:t>
      </w:r>
      <w:r w:rsidR="004140BB" w:rsidRPr="00B053B5">
        <w:rPr>
          <w:color w:val="3D3D3D"/>
          <w:shd w:val="clear" w:color="auto" w:fill="FFFFFF"/>
        </w:rPr>
        <w:t>,</w:t>
      </w:r>
      <w:r w:rsidR="00D45C28" w:rsidRPr="001E6745">
        <w:rPr>
          <w:color w:val="3D3D3D"/>
          <w:shd w:val="clear" w:color="auto" w:fill="FFFFFF"/>
        </w:rPr>
        <w:t xml:space="preserve"> </w:t>
      </w:r>
      <w:r w:rsidR="004140BB" w:rsidRPr="00B053B5">
        <w:rPr>
          <w:rStyle w:val="normaltextrun"/>
          <w:rFonts w:eastAsiaTheme="majorEastAsia"/>
          <w:smallCaps/>
          <w:color w:val="000000"/>
          <w:szCs w:val="17"/>
          <w:shd w:val="clear" w:color="auto" w:fill="FFFFFF"/>
        </w:rPr>
        <w:t>Exec. Off. for Immigr. Rev.</w:t>
      </w:r>
      <w:r w:rsidR="004140BB" w:rsidRPr="00B053B5">
        <w:rPr>
          <w:smallCaps/>
          <w:color w:val="3D3D3D"/>
          <w:shd w:val="clear" w:color="auto" w:fill="FFFFFF"/>
        </w:rPr>
        <w:t>,</w:t>
      </w:r>
      <w:r w:rsidR="00EE1E92" w:rsidRPr="00B053B5">
        <w:t xml:space="preserve"> </w:t>
      </w:r>
      <w:r w:rsidR="004140BB" w:rsidRPr="00B053B5">
        <w:t>https://www.justice.gov/eoir/find-immigration-court-and-access-internet-based-hearings [https://perma.cc/EB37-2TKA] (listing the current active immigration courts).</w:t>
      </w:r>
    </w:p>
  </w:footnote>
  <w:footnote w:id="33">
    <w:p w14:paraId="3AE24317" w14:textId="5C421BA5" w:rsidR="006D3942" w:rsidRPr="006D3942" w:rsidRDefault="006D3942" w:rsidP="00695136">
      <w:pPr>
        <w:pStyle w:val="FootNote"/>
      </w:pPr>
      <w:r w:rsidRPr="006D3942">
        <w:tab/>
      </w:r>
      <w:r w:rsidRPr="006D3942">
        <w:rPr>
          <w:rStyle w:val="NoteRefInNote"/>
        </w:rPr>
        <w:footnoteRef/>
      </w:r>
      <w:r w:rsidRPr="006D3942">
        <w:t xml:space="preserve">. Leonard Birdsong, </w:t>
      </w:r>
      <w:r w:rsidRPr="006D3942">
        <w:rPr>
          <w:i/>
          <w:iCs/>
        </w:rPr>
        <w:t xml:space="preserve">Reforming the Immigration Courts of the United States: Why Is There No Will to Make It an Article I </w:t>
      </w:r>
      <w:proofErr w:type="gramStart"/>
      <w:r w:rsidRPr="006D3942">
        <w:rPr>
          <w:i/>
          <w:iCs/>
        </w:rPr>
        <w:t>Court?</w:t>
      </w:r>
      <w:r w:rsidRPr="006D3942">
        <w:t>,</w:t>
      </w:r>
      <w:proofErr w:type="gramEnd"/>
      <w:r w:rsidR="004140BB">
        <w:t xml:space="preserve"> </w:t>
      </w:r>
      <w:r w:rsidRPr="006D3942">
        <w:t xml:space="preserve">19 </w:t>
      </w:r>
      <w:r w:rsidRPr="006D3942">
        <w:rPr>
          <w:smallCaps/>
        </w:rPr>
        <w:t>Barry L. Rev.</w:t>
      </w:r>
      <w:r w:rsidRPr="006D3942">
        <w:t xml:space="preserve"> 17, </w:t>
      </w:r>
      <w:r w:rsidR="004140BB">
        <w:t>29–</w:t>
      </w:r>
      <w:r w:rsidRPr="006D3942">
        <w:t>30 (2013)</w:t>
      </w:r>
      <w:r w:rsidR="004140BB">
        <w:t>.</w:t>
      </w:r>
      <w:r w:rsidRPr="006D3942">
        <w:t xml:space="preserve"> </w:t>
      </w:r>
    </w:p>
  </w:footnote>
  <w:footnote w:id="34">
    <w:p w14:paraId="1CA82665" w14:textId="433A80E0" w:rsidR="006D3942" w:rsidRPr="006D3942" w:rsidRDefault="006D3942" w:rsidP="00695136">
      <w:pPr>
        <w:pStyle w:val="FootNote"/>
      </w:pPr>
      <w:r w:rsidRPr="006D3942">
        <w:rPr>
          <w:iCs/>
        </w:rPr>
        <w:tab/>
      </w:r>
      <w:r w:rsidRPr="006D3942">
        <w:rPr>
          <w:rStyle w:val="NoteRefInNote"/>
        </w:rPr>
        <w:footnoteRef/>
      </w:r>
      <w:r w:rsidRPr="006D3942">
        <w:rPr>
          <w:iCs/>
        </w:rPr>
        <w:t>. </w:t>
      </w:r>
      <w:r w:rsidR="001B0A52" w:rsidRPr="00564984">
        <w:rPr>
          <w:i/>
        </w:rPr>
        <w:t>Compare</w:t>
      </w:r>
      <w:r w:rsidR="001B0A52">
        <w:rPr>
          <w:iCs/>
        </w:rPr>
        <w:t xml:space="preserve"> </w:t>
      </w:r>
      <w:r w:rsidR="001B0A52" w:rsidRPr="006D3942">
        <w:t xml:space="preserve">Rebecca Baibak, Comment, </w:t>
      </w:r>
      <w:r w:rsidR="001B0A52" w:rsidRPr="006D3942">
        <w:rPr>
          <w:i/>
          <w:iCs/>
        </w:rPr>
        <w:t>Creating an Article I Immigration Court</w:t>
      </w:r>
      <w:r w:rsidR="001B0A52" w:rsidRPr="006D3942">
        <w:t>, 86 U</w:t>
      </w:r>
      <w:r w:rsidR="001B0A52" w:rsidRPr="006D3942">
        <w:rPr>
          <w:smallCaps/>
        </w:rPr>
        <w:t>. Cin. L. Rev.</w:t>
      </w:r>
      <w:r w:rsidR="001B0A52" w:rsidRPr="006D3942">
        <w:t xml:space="preserve"> 997, 1004 (201</w:t>
      </w:r>
      <w:r w:rsidR="001B0A52">
        <w:t>9</w:t>
      </w:r>
      <w:r w:rsidR="001B0A52" w:rsidRPr="006D3942">
        <w:t>)</w:t>
      </w:r>
      <w:r w:rsidR="001B0A52">
        <w:t xml:space="preserve"> (noting that IJs “lack protection against removal without cause”), </w:t>
      </w:r>
      <w:r w:rsidR="001B0A52" w:rsidRPr="00564984">
        <w:rPr>
          <w:i/>
          <w:iCs/>
        </w:rPr>
        <w:t>with About Federal Judges</w:t>
      </w:r>
      <w:r w:rsidR="001B0A52">
        <w:t xml:space="preserve">, </w:t>
      </w:r>
      <w:r w:rsidR="001B0A52" w:rsidRPr="00564984">
        <w:rPr>
          <w:i/>
          <w:iCs/>
        </w:rPr>
        <w:t>supra</w:t>
      </w:r>
      <w:r w:rsidR="001B0A52">
        <w:t xml:space="preserve"> note </w:t>
      </w:r>
      <w:r w:rsidR="00EE1E92">
        <w:fldChar w:fldCharType="begin"/>
      </w:r>
      <w:r w:rsidR="00EE1E92">
        <w:instrText xml:space="preserve"> NOTEREF _Ref186561762 \h </w:instrText>
      </w:r>
      <w:r w:rsidR="001E6745">
        <w:instrText xml:space="preserve"> \* MERGEFORMAT </w:instrText>
      </w:r>
      <w:r w:rsidR="00EE1E92">
        <w:fldChar w:fldCharType="separate"/>
      </w:r>
      <w:r w:rsidR="00102CC5">
        <w:t>29</w:t>
      </w:r>
      <w:r w:rsidR="00EE1E92">
        <w:fldChar w:fldCharType="end"/>
      </w:r>
      <w:r w:rsidR="001B0A52">
        <w:t xml:space="preserve"> (noting that “Article III judges can be removed from office only through impeachment</w:t>
      </w:r>
      <w:r w:rsidR="00FF552D">
        <w:t xml:space="preserve"> by the House of Representatives </w:t>
      </w:r>
      <w:r w:rsidR="001B0A52">
        <w:t>and conviction</w:t>
      </w:r>
      <w:r w:rsidR="00FF552D">
        <w:t xml:space="preserve"> by the Senate</w:t>
      </w:r>
      <w:r w:rsidR="001B0A52">
        <w:t>”).</w:t>
      </w:r>
      <w:r w:rsidR="003A7E78">
        <w:t xml:space="preserve"> </w:t>
      </w:r>
    </w:p>
  </w:footnote>
  <w:footnote w:id="35">
    <w:p w14:paraId="152D0A1B" w14:textId="590305FC" w:rsidR="006D3942" w:rsidRPr="006D3942" w:rsidRDefault="006D3942" w:rsidP="00695136">
      <w:pPr>
        <w:pStyle w:val="FootNote"/>
      </w:pPr>
      <w:r w:rsidRPr="006D3942">
        <w:tab/>
      </w:r>
      <w:r w:rsidRPr="006D3942">
        <w:rPr>
          <w:rStyle w:val="NoteRefInNote"/>
        </w:rPr>
        <w:footnoteRef/>
      </w:r>
      <w:r w:rsidRPr="006D3942">
        <w:t xml:space="preserve">. Baibak, </w:t>
      </w:r>
      <w:r w:rsidR="001B0A52" w:rsidRPr="00564984">
        <w:rPr>
          <w:i/>
          <w:iCs/>
        </w:rPr>
        <w:t>supra</w:t>
      </w:r>
      <w:r w:rsidR="001B0A52">
        <w:t xml:space="preserve"> note </w:t>
      </w:r>
      <w:r w:rsidR="001B0A52">
        <w:fldChar w:fldCharType="begin"/>
      </w:r>
      <w:r w:rsidR="001B0A52">
        <w:instrText xml:space="preserve"> NOTEREF _Ref181100720 \h </w:instrText>
      </w:r>
      <w:r w:rsidR="001E6745">
        <w:instrText xml:space="preserve"> \* MERGEFORMAT </w:instrText>
      </w:r>
      <w:r w:rsidR="001B0A52">
        <w:fldChar w:fldCharType="separate"/>
      </w:r>
      <w:r w:rsidR="00102CC5">
        <w:t>34</w:t>
      </w:r>
      <w:r w:rsidR="001B0A52">
        <w:fldChar w:fldCharType="end"/>
      </w:r>
      <w:r w:rsidR="001B0A52">
        <w:t xml:space="preserve">, at </w:t>
      </w:r>
      <w:r w:rsidRPr="006D3942">
        <w:t>1004.</w:t>
      </w:r>
    </w:p>
  </w:footnote>
  <w:footnote w:id="36">
    <w:p w14:paraId="4373FD1F" w14:textId="5D68C942" w:rsidR="006D3942" w:rsidRPr="006D3942" w:rsidRDefault="006D3942" w:rsidP="00695136">
      <w:pPr>
        <w:pStyle w:val="FootNote"/>
      </w:pPr>
      <w:r w:rsidRPr="006D3942">
        <w:tab/>
      </w:r>
      <w:r w:rsidRPr="006D3942">
        <w:rPr>
          <w:rStyle w:val="NoteRefInNote"/>
        </w:rPr>
        <w:footnoteRef/>
      </w:r>
      <w:r w:rsidRPr="006D3942">
        <w:t>. </w:t>
      </w:r>
      <w:r w:rsidR="001B0A52" w:rsidRPr="00564984">
        <w:rPr>
          <w:i/>
          <w:iCs/>
        </w:rPr>
        <w:t>See</w:t>
      </w:r>
      <w:r w:rsidR="001B0A52">
        <w:t xml:space="preserve"> </w:t>
      </w:r>
      <w:r w:rsidRPr="006D3942">
        <w:t xml:space="preserve">Birdsong, </w:t>
      </w:r>
      <w:r w:rsidRPr="006D3942">
        <w:rPr>
          <w:i/>
          <w:iCs/>
        </w:rPr>
        <w:t>supra</w:t>
      </w:r>
      <w:r w:rsidRPr="006D3942">
        <w:t xml:space="preserve"> note </w:t>
      </w:r>
      <w:r w:rsidR="00152D2B">
        <w:fldChar w:fldCharType="begin"/>
      </w:r>
      <w:r w:rsidR="00152D2B">
        <w:instrText xml:space="preserve"> NOTEREF _Ref177479237 \h </w:instrText>
      </w:r>
      <w:r w:rsidR="001E6745">
        <w:instrText xml:space="preserve"> \* MERGEFORMAT </w:instrText>
      </w:r>
      <w:r w:rsidR="00152D2B">
        <w:fldChar w:fldCharType="separate"/>
      </w:r>
      <w:r w:rsidR="00102CC5">
        <w:t>33</w:t>
      </w:r>
      <w:r w:rsidR="00152D2B">
        <w:fldChar w:fldCharType="end"/>
      </w:r>
      <w:r w:rsidRPr="006D3942">
        <w:t>, at 30</w:t>
      </w:r>
      <w:r w:rsidR="001B0A52">
        <w:t xml:space="preserve"> (describing IJ hiring criteria, which require only several “years relevant post-bar admission legal experience” and list “knowledge of immigration laws and procedure” as one of several areas of experience considered)</w:t>
      </w:r>
      <w:r w:rsidRPr="006D3942">
        <w:t>.</w:t>
      </w:r>
      <w:r w:rsidR="001B0A52">
        <w:t xml:space="preserve"> </w:t>
      </w:r>
    </w:p>
  </w:footnote>
  <w:footnote w:id="37">
    <w:p w14:paraId="65B2ED02" w14:textId="7FED9DA7" w:rsidR="006D3942" w:rsidRPr="006D3942" w:rsidRDefault="006D3942" w:rsidP="00695136">
      <w:pPr>
        <w:pStyle w:val="FootNote"/>
      </w:pPr>
      <w:r w:rsidRPr="006D3942">
        <w:tab/>
      </w:r>
      <w:r w:rsidRPr="006D3942">
        <w:rPr>
          <w:rStyle w:val="NoteRefInNote"/>
        </w:rPr>
        <w:footnoteRef/>
      </w:r>
      <w:r w:rsidRPr="006D3942">
        <w:t xml:space="preserve">. Legomsky, </w:t>
      </w:r>
      <w:r w:rsidRPr="006D3942">
        <w:rPr>
          <w:i/>
          <w:iCs/>
        </w:rPr>
        <w:t>supra</w:t>
      </w:r>
      <w:r w:rsidRPr="006D3942">
        <w:t xml:space="preserve"> note </w:t>
      </w:r>
      <w:r w:rsidR="00152D2B">
        <w:fldChar w:fldCharType="begin"/>
      </w:r>
      <w:r w:rsidR="00152D2B">
        <w:instrText xml:space="preserve"> NOTEREF _Ref177479292 \h </w:instrText>
      </w:r>
      <w:r w:rsidR="001E6745">
        <w:instrText xml:space="preserve"> \* MERGEFORMAT </w:instrText>
      </w:r>
      <w:r w:rsidR="00152D2B">
        <w:fldChar w:fldCharType="separate"/>
      </w:r>
      <w:r w:rsidR="00102CC5">
        <w:t>23</w:t>
      </w:r>
      <w:r w:rsidR="00152D2B">
        <w:fldChar w:fldCharType="end"/>
      </w:r>
      <w:r w:rsidRPr="006D3942">
        <w:t>, at 166</w:t>
      </w:r>
      <w:r w:rsidR="001B0A52">
        <w:t>6</w:t>
      </w:r>
      <w:r w:rsidRPr="006D3942">
        <w:t>.</w:t>
      </w:r>
    </w:p>
  </w:footnote>
  <w:footnote w:id="38">
    <w:p w14:paraId="2D77707F" w14:textId="1B39B3C5"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Courts in Name Only</w:t>
      </w:r>
      <w:r w:rsidRPr="006D3942">
        <w:t xml:space="preserve">, </w:t>
      </w:r>
      <w:r w:rsidRPr="006D3942">
        <w:rPr>
          <w:i/>
          <w:iCs/>
        </w:rPr>
        <w:t>supra</w:t>
      </w:r>
      <w:r w:rsidRPr="006D3942">
        <w:t xml:space="preserve"> note </w:t>
      </w:r>
      <w:r w:rsidR="00EE1E92">
        <w:rPr>
          <w:szCs w:val="17"/>
        </w:rPr>
        <w:fldChar w:fldCharType="begin"/>
      </w:r>
      <w:r w:rsidR="00EE1E92">
        <w:rPr>
          <w:szCs w:val="17"/>
        </w:rPr>
        <w:instrText xml:space="preserve"> NOTEREF _Ref186561727 \h </w:instrText>
      </w:r>
      <w:r w:rsidR="001E6745">
        <w:rPr>
          <w:szCs w:val="17"/>
        </w:rPr>
        <w:instrText xml:space="preserve"> \* MERGEFORMAT </w:instrText>
      </w:r>
      <w:r w:rsidR="00EE1E92">
        <w:rPr>
          <w:szCs w:val="17"/>
        </w:rPr>
      </w:r>
      <w:r w:rsidR="00EE1E92">
        <w:rPr>
          <w:szCs w:val="17"/>
        </w:rPr>
        <w:fldChar w:fldCharType="separate"/>
      </w:r>
      <w:r w:rsidR="00102CC5">
        <w:rPr>
          <w:szCs w:val="17"/>
        </w:rPr>
        <w:t>28</w:t>
      </w:r>
      <w:r w:rsidR="00EE1E92">
        <w:rPr>
          <w:szCs w:val="17"/>
        </w:rPr>
        <w:fldChar w:fldCharType="end"/>
      </w:r>
      <w:r w:rsidRPr="006D3942">
        <w:t>, at 912</w:t>
      </w:r>
      <w:r w:rsidR="001B0A52">
        <w:t>–13, 912 n.35</w:t>
      </w:r>
      <w:r w:rsidRPr="006D3942">
        <w:t>.</w:t>
      </w:r>
    </w:p>
  </w:footnote>
  <w:footnote w:id="39">
    <w:p w14:paraId="7A954EC5" w14:textId="70FC2D76" w:rsidR="006D3942" w:rsidRPr="006D3942" w:rsidRDefault="006D3942" w:rsidP="00695136">
      <w:pPr>
        <w:pStyle w:val="FootNote"/>
      </w:pPr>
      <w:r w:rsidRPr="006D3942">
        <w:rPr>
          <w:iCs/>
        </w:rPr>
        <w:tab/>
      </w:r>
      <w:r w:rsidRPr="006D3942">
        <w:rPr>
          <w:rStyle w:val="NoteRefInNote"/>
        </w:rPr>
        <w:footnoteRef/>
      </w:r>
      <w:r w:rsidRPr="006D3942">
        <w:rPr>
          <w:iCs/>
        </w:rPr>
        <w:t>. </w:t>
      </w:r>
      <w:r w:rsidR="00B73319">
        <w:rPr>
          <w:i/>
          <w:iCs/>
        </w:rPr>
        <w:t>See i</w:t>
      </w:r>
      <w:r w:rsidRPr="006D3942">
        <w:rPr>
          <w:i/>
          <w:iCs/>
        </w:rPr>
        <w:t>d.</w:t>
      </w:r>
      <w:r w:rsidRPr="006D3942">
        <w:t xml:space="preserve"> at 913</w:t>
      </w:r>
      <w:r w:rsidR="00B73319">
        <w:t xml:space="preserve"> (“The executive branch’s influence over IJs is so prominent that IJs bear more resemblance to fungible DOJ employees than to judges.”).</w:t>
      </w:r>
    </w:p>
  </w:footnote>
  <w:footnote w:id="40">
    <w:p w14:paraId="74AC6C00" w14:textId="45051E71"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41">
    <w:p w14:paraId="587C43B2" w14:textId="6412324B" w:rsidR="00B73319" w:rsidRPr="00564984" w:rsidRDefault="00B053B5" w:rsidP="00695136">
      <w:pPr>
        <w:pStyle w:val="FootNote"/>
      </w:pPr>
      <w:r w:rsidRPr="001E6745">
        <w:tab/>
      </w:r>
      <w:r w:rsidR="007625D8" w:rsidRPr="001E6745">
        <w:rPr>
          <w:rStyle w:val="NoteRefInNote"/>
        </w:rPr>
        <w:footnoteRef/>
      </w:r>
      <w:r w:rsidRPr="001E6745">
        <w:t>. </w:t>
      </w:r>
      <w:r w:rsidR="007625D8" w:rsidRPr="00B053B5">
        <w:rPr>
          <w:rStyle w:val="normaltextrun"/>
          <w:smallCaps/>
          <w:color w:val="000000"/>
          <w:szCs w:val="17"/>
          <w:shd w:val="clear" w:color="auto" w:fill="FFFFFF"/>
        </w:rPr>
        <w:t xml:space="preserve">Exec. Off. for Immigr. Rev., Immigration Court Practice Manual </w:t>
      </w:r>
      <w:r w:rsidR="007625D8" w:rsidRPr="00B053B5">
        <w:rPr>
          <w:rStyle w:val="normaltextrun"/>
          <w:color w:val="000000"/>
          <w:szCs w:val="17"/>
          <w:shd w:val="clear" w:color="auto" w:fill="FFFFFF"/>
        </w:rPr>
        <w:t>§</w:t>
      </w:r>
      <w:r w:rsidR="00FF552D" w:rsidRPr="001E6745">
        <w:rPr>
          <w:rStyle w:val="normaltextrun"/>
          <w:color w:val="000000"/>
          <w:szCs w:val="17"/>
          <w:shd w:val="clear" w:color="auto" w:fill="FFFFFF"/>
        </w:rPr>
        <w:t> </w:t>
      </w:r>
      <w:r w:rsidR="007625D8" w:rsidRPr="00B053B5">
        <w:rPr>
          <w:rStyle w:val="normaltextrun"/>
          <w:color w:val="000000"/>
          <w:szCs w:val="17"/>
          <w:shd w:val="clear" w:color="auto" w:fill="FFFFFF"/>
        </w:rPr>
        <w:t xml:space="preserve">7.2(a)(1) (2023) [hereinafter </w:t>
      </w:r>
      <w:r w:rsidR="007625D8" w:rsidRPr="00B053B5">
        <w:rPr>
          <w:rStyle w:val="normaltextrun"/>
          <w:smallCaps/>
          <w:color w:val="000000"/>
          <w:szCs w:val="17"/>
          <w:shd w:val="clear" w:color="auto" w:fill="FFFFFF"/>
        </w:rPr>
        <w:t>Immigration Court Practice Manual</w:t>
      </w:r>
      <w:r w:rsidR="007625D8" w:rsidRPr="00B053B5">
        <w:rPr>
          <w:rStyle w:val="normaltextrun"/>
          <w:color w:val="000000"/>
          <w:szCs w:val="17"/>
          <w:shd w:val="clear" w:color="auto" w:fill="FFFFFF"/>
        </w:rPr>
        <w:t xml:space="preserve">], </w:t>
      </w:r>
      <w:r w:rsidRPr="00B053B5">
        <w:rPr>
          <w:rStyle w:val="normaltextrun"/>
          <w:color w:val="000000"/>
          <w:szCs w:val="17"/>
          <w:shd w:val="clear" w:color="auto" w:fill="FFFFFF"/>
        </w:rPr>
        <w:t>https://www.justice.gov/media</w:t>
      </w:r>
      <w:r w:rsidRPr="001E6745">
        <w:rPr>
          <w:rStyle w:val="normaltextrun"/>
          <w:color w:val="000000"/>
          <w:szCs w:val="17"/>
          <w:shd w:val="clear" w:color="auto" w:fill="FFFFFF"/>
        </w:rPr>
        <w:br/>
      </w:r>
      <w:r w:rsidR="007625D8" w:rsidRPr="00B053B5">
        <w:rPr>
          <w:rStyle w:val="normaltextrun"/>
          <w:color w:val="000000"/>
          <w:szCs w:val="17"/>
          <w:shd w:val="clear" w:color="auto" w:fill="FFFFFF"/>
        </w:rPr>
        <w:t>/1239281/dl?inline [https://perma.cc/UZ6H-AMWL].</w:t>
      </w:r>
    </w:p>
  </w:footnote>
  <w:footnote w:id="42">
    <w:p w14:paraId="463DDEFD" w14:textId="56F4A913" w:rsidR="007625D8" w:rsidRPr="00B053B5" w:rsidRDefault="00B053B5" w:rsidP="00695136">
      <w:pPr>
        <w:pStyle w:val="FootNote"/>
      </w:pPr>
      <w:r w:rsidRPr="001E6745">
        <w:tab/>
      </w:r>
      <w:r w:rsidR="007625D8" w:rsidRPr="001E6745">
        <w:rPr>
          <w:rStyle w:val="NoteRefInNote"/>
        </w:rPr>
        <w:footnoteRef/>
      </w:r>
      <w:r w:rsidRPr="001E6745">
        <w:t>. </w:t>
      </w:r>
      <w:r w:rsidR="007625D8" w:rsidRPr="00B053B5">
        <w:rPr>
          <w:rStyle w:val="normaltextrun"/>
          <w:i/>
          <w:iCs/>
          <w:color w:val="000000"/>
          <w:szCs w:val="17"/>
          <w:shd w:val="clear" w:color="auto" w:fill="FFFFFF"/>
        </w:rPr>
        <w:t>Id</w:t>
      </w:r>
      <w:r w:rsidR="007625D8" w:rsidRPr="00B053B5">
        <w:rPr>
          <w:rStyle w:val="normaltextrun"/>
          <w:color w:val="000000"/>
          <w:szCs w:val="17"/>
          <w:shd w:val="clear" w:color="auto" w:fill="FFFFFF"/>
        </w:rPr>
        <w:t xml:space="preserve">. </w:t>
      </w:r>
      <w:r w:rsidR="00B73319" w:rsidRPr="00B053B5">
        <w:rPr>
          <w:rStyle w:val="normaltextrun"/>
          <w:color w:val="000000"/>
          <w:szCs w:val="17"/>
          <w:shd w:val="clear" w:color="auto" w:fill="FFFFFF"/>
        </w:rPr>
        <w:t xml:space="preserve">at </w:t>
      </w:r>
      <w:r w:rsidR="007625D8" w:rsidRPr="00B053B5">
        <w:rPr>
          <w:rStyle w:val="normaltextrun"/>
          <w:color w:val="000000"/>
          <w:szCs w:val="17"/>
          <w:shd w:val="clear" w:color="auto" w:fill="FFFFFF"/>
        </w:rPr>
        <w:t>§ 4.3.</w:t>
      </w:r>
    </w:p>
  </w:footnote>
  <w:footnote w:id="43">
    <w:p w14:paraId="4EA07969" w14:textId="77777777" w:rsidR="007625D8" w:rsidRPr="006D3942" w:rsidRDefault="007625D8" w:rsidP="00695136">
      <w:pPr>
        <w:pStyle w:val="FootNote"/>
      </w:pPr>
      <w:r w:rsidRPr="006D3942">
        <w:tab/>
      </w:r>
      <w:r w:rsidRPr="006D3942">
        <w:rPr>
          <w:rStyle w:val="NoteRefInNote"/>
        </w:rPr>
        <w:footnoteRef/>
      </w:r>
      <w:r w:rsidRPr="006D3942">
        <w:t>. </w:t>
      </w:r>
      <w:r w:rsidRPr="00564984">
        <w:rPr>
          <w:i/>
          <w:iCs/>
        </w:rPr>
        <w:t>See</w:t>
      </w:r>
      <w:r>
        <w:t xml:space="preserve"> </w:t>
      </w:r>
      <w:r w:rsidRPr="006D3942">
        <w:t xml:space="preserve">8 U.S.C. </w:t>
      </w:r>
      <w:r>
        <w:t>§ </w:t>
      </w:r>
      <w:r w:rsidRPr="006D3942">
        <w:t>1362</w:t>
      </w:r>
      <w:r>
        <w:t xml:space="preserve"> (granting only a “privilege” to counsel “at no expense to the Government”)</w:t>
      </w:r>
      <w:r w:rsidRPr="006D3942">
        <w:t>.</w:t>
      </w:r>
      <w:r>
        <w:t xml:space="preserve"> </w:t>
      </w:r>
    </w:p>
  </w:footnote>
  <w:footnote w:id="44">
    <w:p w14:paraId="7D5E8164" w14:textId="44135A62" w:rsidR="007625D8" w:rsidRPr="004E6173" w:rsidRDefault="007625D8" w:rsidP="00695136">
      <w:pPr>
        <w:pStyle w:val="FootNote"/>
      </w:pPr>
      <w:r w:rsidRPr="006D3942">
        <w:rPr>
          <w:smallCaps/>
        </w:rPr>
        <w:tab/>
      </w:r>
      <w:r w:rsidRPr="006D3942">
        <w:rPr>
          <w:rStyle w:val="NoteRefInNote"/>
        </w:rPr>
        <w:footnoteRef/>
      </w:r>
      <w:r w:rsidRPr="006D3942">
        <w:rPr>
          <w:smallCaps/>
        </w:rPr>
        <w:t>. </w:t>
      </w:r>
      <w:r w:rsidR="00B73319">
        <w:rPr>
          <w:i/>
          <w:iCs/>
        </w:rPr>
        <w:t xml:space="preserve">See </w:t>
      </w:r>
      <w:r w:rsidRPr="00D222E6">
        <w:rPr>
          <w:rStyle w:val="normaltextrun"/>
          <w:smallCaps/>
          <w:color w:val="000000"/>
          <w:szCs w:val="17"/>
          <w:shd w:val="clear" w:color="auto" w:fill="FFFFFF"/>
        </w:rPr>
        <w:t>Immigration Court Practice Manual</w:t>
      </w:r>
      <w:r>
        <w:rPr>
          <w:smallCaps/>
        </w:rPr>
        <w:t xml:space="preserve">, </w:t>
      </w:r>
      <w:r w:rsidRPr="00564984">
        <w:rPr>
          <w:i/>
          <w:iCs/>
        </w:rPr>
        <w:t>supra</w:t>
      </w:r>
      <w:r w:rsidRPr="00564984">
        <w:t xml:space="preserve"> note</w:t>
      </w:r>
      <w:r w:rsidR="00B73319">
        <w:t xml:space="preserve"> </w:t>
      </w:r>
      <w:r w:rsidR="00B73319">
        <w:fldChar w:fldCharType="begin"/>
      </w:r>
      <w:r w:rsidR="00B73319">
        <w:instrText xml:space="preserve"> NOTEREF _Ref186710026 \h </w:instrText>
      </w:r>
      <w:r w:rsidR="001E6745">
        <w:instrText xml:space="preserve"> \* MERGEFORMAT </w:instrText>
      </w:r>
      <w:r w:rsidR="00B73319">
        <w:fldChar w:fldCharType="separate"/>
      </w:r>
      <w:r w:rsidR="00102CC5">
        <w:t>41</w:t>
      </w:r>
      <w:r w:rsidR="00B73319">
        <w:fldChar w:fldCharType="end"/>
      </w:r>
      <w:r w:rsidRPr="00564984">
        <w:t>, §§ 1.4(e), 4.3</w:t>
      </w:r>
      <w:r w:rsidR="00B73319">
        <w:t xml:space="preserve"> (noting that the DHS officer “enforces the immigration and nationality laws and represents the United States government’s interests in immigration proceedings”).</w:t>
      </w:r>
    </w:p>
  </w:footnote>
  <w:footnote w:id="45">
    <w:p w14:paraId="2D96C7C6" w14:textId="58823B14" w:rsidR="007625D8" w:rsidRPr="00443008" w:rsidRDefault="007625D8" w:rsidP="00695136">
      <w:pPr>
        <w:pStyle w:val="FootNote"/>
        <w:rPr>
          <w:szCs w:val="17"/>
        </w:rPr>
      </w:pPr>
      <w:r w:rsidRPr="006D3942">
        <w:rPr>
          <w:iCs/>
        </w:rPr>
        <w:tab/>
      </w:r>
      <w:r w:rsidRPr="006D3942">
        <w:rPr>
          <w:rStyle w:val="NoteRefInNote"/>
        </w:rPr>
        <w:footnoteRef/>
      </w:r>
      <w:r w:rsidRPr="006D3942">
        <w:rPr>
          <w:iCs/>
        </w:rPr>
        <w:t>. </w:t>
      </w:r>
      <w:r w:rsidRPr="006D3942">
        <w:rPr>
          <w:i/>
          <w:iCs/>
        </w:rPr>
        <w:t>See</w:t>
      </w:r>
      <w:r w:rsidRPr="006D3942">
        <w:t xml:space="preserve"> </w:t>
      </w:r>
      <w:r w:rsidRPr="006D3942">
        <w:rPr>
          <w:i/>
          <w:iCs/>
        </w:rPr>
        <w:t>Executive Office for Immigration Review Adjudication Statistics: Current Representation Rates</w:t>
      </w:r>
      <w:r w:rsidRPr="00564984">
        <w:t>,</w:t>
      </w:r>
      <w:r w:rsidRPr="006D3942">
        <w:t xml:space="preserve"> </w:t>
      </w:r>
      <w:r w:rsidRPr="00D222E6">
        <w:rPr>
          <w:rStyle w:val="normaltextrun"/>
          <w:rFonts w:eastAsiaTheme="majorEastAsia"/>
          <w:smallCaps/>
          <w:color w:val="000000"/>
          <w:szCs w:val="17"/>
          <w:shd w:val="clear" w:color="auto" w:fill="FFFFFF"/>
        </w:rPr>
        <w:t>Exec. Off. for Immigr. Rev.</w:t>
      </w:r>
      <w:r>
        <w:rPr>
          <w:smallCaps/>
        </w:rPr>
        <w:t xml:space="preserve"> </w:t>
      </w:r>
      <w:r w:rsidRPr="006D3942">
        <w:t>(</w:t>
      </w:r>
      <w:r>
        <w:t>Oct. 12</w:t>
      </w:r>
      <w:r w:rsidRPr="006D3942">
        <w:t xml:space="preserve">, 2023), </w:t>
      </w:r>
      <w:r w:rsidR="00666691" w:rsidRPr="00A13608">
        <w:rPr>
          <w:szCs w:val="17"/>
        </w:rPr>
        <w:t>https://www</w:t>
      </w:r>
      <w:r w:rsidR="00666691">
        <w:rPr>
          <w:szCs w:val="17"/>
        </w:rPr>
        <w:br/>
      </w:r>
      <w:r w:rsidRPr="00443008">
        <w:rPr>
          <w:szCs w:val="17"/>
        </w:rPr>
        <w:t>.justice.gov/eoir/page/file/1062991/dl [https://perma.cc/BAT3-V288] (providing the total representation rate for overall pending cases).</w:t>
      </w:r>
    </w:p>
  </w:footnote>
  <w:footnote w:id="46">
    <w:p w14:paraId="1D75DA92" w14:textId="03072648" w:rsidR="002E1971" w:rsidRPr="00B053B5" w:rsidRDefault="00B053B5" w:rsidP="00695136">
      <w:pPr>
        <w:pStyle w:val="FootNote"/>
      </w:pPr>
      <w:r w:rsidRPr="001E6745">
        <w:tab/>
      </w:r>
      <w:r w:rsidR="002E1971" w:rsidRPr="001E6745">
        <w:rPr>
          <w:rStyle w:val="NoteRefInNote"/>
        </w:rPr>
        <w:footnoteRef/>
      </w:r>
      <w:r w:rsidRPr="001E6745">
        <w:t>. </w:t>
      </w:r>
      <w:r w:rsidR="00581F64" w:rsidRPr="00B053B5">
        <w:rPr>
          <w:i/>
          <w:iCs/>
        </w:rPr>
        <w:t>See</w:t>
      </w:r>
      <w:r w:rsidR="00581F64" w:rsidRPr="00B053B5">
        <w:t xml:space="preserve"> </w:t>
      </w:r>
      <w:r w:rsidR="00B02D10" w:rsidRPr="00B053B5">
        <w:rPr>
          <w:i/>
          <w:iCs/>
        </w:rPr>
        <w:t>Amicus Invitation No. 24-28</w:t>
      </w:r>
      <w:r w:rsidR="00B02D10" w:rsidRPr="00005896">
        <w:rPr>
          <w:i/>
          <w:iCs/>
        </w:rPr>
        <w:t>-</w:t>
      </w:r>
      <w:r w:rsidR="00B02D10" w:rsidRPr="00A13608">
        <w:rPr>
          <w:i/>
          <w:iCs/>
        </w:rPr>
        <w:t>06</w:t>
      </w:r>
      <w:r w:rsidR="00B02D10" w:rsidRPr="00B053B5">
        <w:t xml:space="preserve">, </w:t>
      </w:r>
      <w:r w:rsidR="00B02D10" w:rsidRPr="00B053B5">
        <w:rPr>
          <w:smallCaps/>
        </w:rPr>
        <w:t xml:space="preserve">Bd. Immigr. Appeals </w:t>
      </w:r>
      <w:r w:rsidR="00581F64" w:rsidRPr="00B053B5">
        <w:rPr>
          <w:smallCaps/>
        </w:rPr>
        <w:t>(</w:t>
      </w:r>
      <w:r w:rsidR="00581F64" w:rsidRPr="00B053B5">
        <w:t xml:space="preserve">June 28, 2024), </w:t>
      </w:r>
      <w:r w:rsidR="00B02D10" w:rsidRPr="00B053B5">
        <w:t>https://www.justice.gov/d9/2024-06/amicus_invitation_24-28-06.pdf [https://perma.cc/X5UN-YCBY]</w:t>
      </w:r>
      <w:r w:rsidR="00415D0F" w:rsidRPr="00B053B5">
        <w:t xml:space="preserve"> (</w:t>
      </w:r>
      <w:r w:rsidR="00B02D10" w:rsidRPr="00B053B5">
        <w:t xml:space="preserve">inviting the public to file amicus briefs on the circuit split regarding the source of the duty for IJs to develop the record). </w:t>
      </w:r>
    </w:p>
  </w:footnote>
  <w:footnote w:id="47">
    <w:p w14:paraId="1E22E57D" w14:textId="6E7F7F8E" w:rsidR="00E81F9D" w:rsidRPr="006D3942" w:rsidRDefault="00E81F9D" w:rsidP="00695136">
      <w:pPr>
        <w:pStyle w:val="FootNote"/>
      </w:pPr>
      <w:r w:rsidRPr="00443008">
        <w:rPr>
          <w:iCs/>
          <w:szCs w:val="17"/>
        </w:rPr>
        <w:tab/>
      </w:r>
      <w:r w:rsidRPr="00443008">
        <w:rPr>
          <w:rStyle w:val="NoteRefInNote"/>
          <w:szCs w:val="17"/>
        </w:rPr>
        <w:footnoteRef/>
      </w:r>
      <w:r w:rsidRPr="00443008">
        <w:rPr>
          <w:iCs/>
          <w:szCs w:val="17"/>
        </w:rPr>
        <w:t>. </w:t>
      </w:r>
      <w:r w:rsidR="00B02D10">
        <w:rPr>
          <w:i/>
          <w:iCs/>
        </w:rPr>
        <w:t xml:space="preserve">See </w:t>
      </w:r>
      <w:r w:rsidR="00B02D10" w:rsidRPr="006D3942">
        <w:rPr>
          <w:i/>
          <w:iCs/>
        </w:rPr>
        <w:t>Courts in Name Only</w:t>
      </w:r>
      <w:r w:rsidR="00B02D10" w:rsidRPr="006D3942">
        <w:t xml:space="preserve">, </w:t>
      </w:r>
      <w:r w:rsidR="00B02D10" w:rsidRPr="006D3942">
        <w:rPr>
          <w:i/>
          <w:iCs/>
        </w:rPr>
        <w:t>supra</w:t>
      </w:r>
      <w:r w:rsidR="00B02D10" w:rsidRPr="006D3942">
        <w:t xml:space="preserve"> note </w:t>
      </w:r>
      <w:r w:rsidR="00B02D10">
        <w:rPr>
          <w:szCs w:val="17"/>
        </w:rPr>
        <w:fldChar w:fldCharType="begin"/>
      </w:r>
      <w:r w:rsidR="00B02D10">
        <w:rPr>
          <w:szCs w:val="17"/>
        </w:rPr>
        <w:instrText xml:space="preserve"> NOTEREF _Ref186561727 \h </w:instrText>
      </w:r>
      <w:r w:rsidR="001E6745">
        <w:rPr>
          <w:szCs w:val="17"/>
        </w:rPr>
        <w:instrText xml:space="preserve"> \* MERGEFORMAT </w:instrText>
      </w:r>
      <w:r w:rsidR="00B02D10">
        <w:rPr>
          <w:szCs w:val="17"/>
        </w:rPr>
      </w:r>
      <w:r w:rsidR="00B02D10">
        <w:rPr>
          <w:szCs w:val="17"/>
        </w:rPr>
        <w:fldChar w:fldCharType="separate"/>
      </w:r>
      <w:r w:rsidR="00102CC5">
        <w:rPr>
          <w:szCs w:val="17"/>
        </w:rPr>
        <w:t>28</w:t>
      </w:r>
      <w:r w:rsidR="00B02D10">
        <w:rPr>
          <w:szCs w:val="17"/>
        </w:rPr>
        <w:fldChar w:fldCharType="end"/>
      </w:r>
      <w:r w:rsidR="00B02D10" w:rsidRPr="006D3942">
        <w:t xml:space="preserve">, at </w:t>
      </w:r>
      <w:r w:rsidR="00B02D10">
        <w:t xml:space="preserve">909–10 (describing the avenues for appealing an immigration court decision). </w:t>
      </w:r>
    </w:p>
  </w:footnote>
  <w:footnote w:id="48">
    <w:p w14:paraId="5C2FAA5F" w14:textId="2E7FD64E" w:rsidR="00EE1E92" w:rsidRPr="00564984" w:rsidRDefault="00B053B5" w:rsidP="00695136">
      <w:pPr>
        <w:pStyle w:val="FootNote"/>
      </w:pPr>
      <w:r w:rsidRPr="001E6745">
        <w:tab/>
      </w:r>
      <w:r w:rsidR="001B0A52" w:rsidRPr="001E6745">
        <w:rPr>
          <w:rStyle w:val="NoteRefInNote"/>
        </w:rPr>
        <w:footnoteRef/>
      </w:r>
      <w:r w:rsidRPr="001E6745">
        <w:t>. </w:t>
      </w:r>
      <w:r w:rsidR="001B0A52" w:rsidRPr="00B053B5">
        <w:t xml:space="preserve">Birdsong, </w:t>
      </w:r>
      <w:r w:rsidR="001B0A52" w:rsidRPr="00B053B5">
        <w:rPr>
          <w:i/>
          <w:iCs/>
        </w:rPr>
        <w:t>supra</w:t>
      </w:r>
      <w:r w:rsidR="001B0A52" w:rsidRPr="00B053B5">
        <w:t xml:space="preserve"> note </w:t>
      </w:r>
      <w:r w:rsidR="001B0A52" w:rsidRPr="00B053B5">
        <w:fldChar w:fldCharType="begin"/>
      </w:r>
      <w:r w:rsidR="001B0A52" w:rsidRPr="00B053B5">
        <w:instrText xml:space="preserve"> NOTEREF _Ref177479237 \h  \* MERGEFORMAT </w:instrText>
      </w:r>
      <w:r w:rsidR="001B0A52" w:rsidRPr="00B053B5">
        <w:fldChar w:fldCharType="separate"/>
      </w:r>
      <w:r w:rsidR="00102CC5">
        <w:t>33</w:t>
      </w:r>
      <w:r w:rsidR="001B0A52" w:rsidRPr="00B053B5">
        <w:fldChar w:fldCharType="end"/>
      </w:r>
      <w:r w:rsidR="001B0A52" w:rsidRPr="00B053B5">
        <w:t>, at 25.</w:t>
      </w:r>
    </w:p>
  </w:footnote>
  <w:footnote w:id="49">
    <w:p w14:paraId="57520F91" w14:textId="221677B5" w:rsidR="006D3942" w:rsidRPr="006D3942" w:rsidRDefault="006D3942" w:rsidP="00695136">
      <w:pPr>
        <w:pStyle w:val="FootNote"/>
      </w:pPr>
      <w:r w:rsidRPr="006D3942">
        <w:tab/>
      </w:r>
      <w:r w:rsidRPr="006D3942">
        <w:rPr>
          <w:rStyle w:val="NoteRefInNote"/>
        </w:rPr>
        <w:footnoteRef/>
      </w:r>
      <w:r w:rsidRPr="006D3942">
        <w:t xml:space="preserve">. Manion, </w:t>
      </w:r>
      <w:r w:rsidRPr="006D3942">
        <w:rPr>
          <w:i/>
          <w:iCs/>
        </w:rPr>
        <w:t>supra</w:t>
      </w:r>
      <w:r w:rsidRPr="006D3942">
        <w:t xml:space="preserve"> note </w:t>
      </w:r>
      <w:r w:rsidR="00152D2B">
        <w:fldChar w:fldCharType="begin"/>
      </w:r>
      <w:r w:rsidR="00152D2B">
        <w:instrText xml:space="preserve"> NOTEREF _Ref177479401 \h </w:instrText>
      </w:r>
      <w:r w:rsidR="001E6745">
        <w:instrText xml:space="preserve"> \* MERGEFORMAT </w:instrText>
      </w:r>
      <w:r w:rsidR="00152D2B">
        <w:fldChar w:fldCharType="separate"/>
      </w:r>
      <w:r w:rsidR="00102CC5">
        <w:t>26</w:t>
      </w:r>
      <w:r w:rsidR="00152D2B">
        <w:fldChar w:fldCharType="end"/>
      </w:r>
      <w:r w:rsidRPr="006D3942">
        <w:t>, at 791 (</w:t>
      </w:r>
      <w:r w:rsidR="001B0A52">
        <w:t>quoting</w:t>
      </w:r>
      <w:r w:rsidRPr="006D3942">
        <w:t xml:space="preserve"> 8 C.F.R. </w:t>
      </w:r>
      <w:r>
        <w:t>§ </w:t>
      </w:r>
      <w:r w:rsidRPr="006D3942">
        <w:t>1003.1(a)(1) (2007)).</w:t>
      </w:r>
    </w:p>
  </w:footnote>
  <w:footnote w:id="50">
    <w:p w14:paraId="6E6B41A6" w14:textId="184CC79D" w:rsidR="006D3942" w:rsidRPr="006D3942" w:rsidRDefault="006D3942" w:rsidP="00695136">
      <w:pPr>
        <w:pStyle w:val="FootNote"/>
      </w:pPr>
      <w:r w:rsidRPr="006D3942">
        <w:tab/>
      </w:r>
      <w:r w:rsidRPr="006D3942">
        <w:rPr>
          <w:rStyle w:val="NoteRefInNote"/>
        </w:rPr>
        <w:footnoteRef/>
      </w:r>
      <w:r w:rsidRPr="006D3942">
        <w:t xml:space="preserve">. Tatum P. Rosenfeld, Note, </w:t>
      </w:r>
      <w:r w:rsidRPr="006D3942">
        <w:rPr>
          <w:i/>
          <w:iCs/>
        </w:rPr>
        <w:t xml:space="preserve">Time to Go </w:t>
      </w:r>
      <w:r w:rsidRPr="00564984">
        <w:t>Auer</w:t>
      </w:r>
      <w:r w:rsidRPr="006D3942">
        <w:rPr>
          <w:i/>
          <w:iCs/>
        </w:rPr>
        <w:t xml:space="preserve"> Separate Ways: Why the B</w:t>
      </w:r>
      <w:r w:rsidR="001B0A52">
        <w:rPr>
          <w:i/>
          <w:iCs/>
        </w:rPr>
        <w:t>IA</w:t>
      </w:r>
      <w:r w:rsidRPr="006D3942">
        <w:rPr>
          <w:i/>
          <w:iCs/>
        </w:rPr>
        <w:t xml:space="preserve"> Should Not Say What the Law Is</w:t>
      </w:r>
      <w:r w:rsidRPr="006D3942">
        <w:t>, 94 S</w:t>
      </w:r>
      <w:r w:rsidRPr="006D3942">
        <w:rPr>
          <w:smallCaps/>
        </w:rPr>
        <w:t>. Cal. L. Rev.</w:t>
      </w:r>
      <w:r w:rsidRPr="006D3942">
        <w:t xml:space="preserve"> 1279, 1283 (2021).</w:t>
      </w:r>
    </w:p>
  </w:footnote>
  <w:footnote w:id="51">
    <w:p w14:paraId="748FCCEB" w14:textId="0623EAAD" w:rsidR="006D3942" w:rsidRPr="006D3942" w:rsidRDefault="006D3942" w:rsidP="00695136">
      <w:pPr>
        <w:pStyle w:val="FootNote"/>
      </w:pPr>
      <w:r w:rsidRPr="006D3942">
        <w:tab/>
      </w:r>
      <w:r w:rsidRPr="006D3942">
        <w:rPr>
          <w:rStyle w:val="NoteRefInNote"/>
        </w:rPr>
        <w:footnoteRef/>
      </w:r>
      <w:r w:rsidRPr="006D3942">
        <w:t xml:space="preserve">. Legomsky, </w:t>
      </w:r>
      <w:r w:rsidRPr="006D3942">
        <w:rPr>
          <w:i/>
          <w:iCs/>
        </w:rPr>
        <w:t>supra</w:t>
      </w:r>
      <w:r w:rsidRPr="006D3942">
        <w:t xml:space="preserve"> note </w:t>
      </w:r>
      <w:r w:rsidR="00152D2B">
        <w:fldChar w:fldCharType="begin"/>
      </w:r>
      <w:r w:rsidR="00152D2B">
        <w:instrText xml:space="preserve"> NOTEREF _Ref177479292 \h </w:instrText>
      </w:r>
      <w:r w:rsidR="001E6745">
        <w:instrText xml:space="preserve"> \* MERGEFORMAT </w:instrText>
      </w:r>
      <w:r w:rsidR="00152D2B">
        <w:fldChar w:fldCharType="separate"/>
      </w:r>
      <w:r w:rsidR="00102CC5">
        <w:t>23</w:t>
      </w:r>
      <w:r w:rsidR="00152D2B">
        <w:fldChar w:fldCharType="end"/>
      </w:r>
      <w:r w:rsidRPr="006D3942">
        <w:t xml:space="preserve">, at </w:t>
      </w:r>
      <w:r w:rsidR="003B38CB" w:rsidRPr="006D3942">
        <w:t>1643–44</w:t>
      </w:r>
      <w:r w:rsidR="00D23C07">
        <w:t>, 1643 n.32</w:t>
      </w:r>
      <w:r w:rsidR="003B38CB" w:rsidRPr="006D3942">
        <w:t xml:space="preserve"> (citing Jill E. Family, </w:t>
      </w:r>
      <w:r w:rsidR="003B38CB" w:rsidRPr="006D3942">
        <w:rPr>
          <w:i/>
          <w:iCs/>
        </w:rPr>
        <w:t>Stripping Judicial Review During Immigration Reform: The Certificate of Reviewability</w:t>
      </w:r>
      <w:r w:rsidR="003B38CB" w:rsidRPr="006D3942">
        <w:t xml:space="preserve">, 8 </w:t>
      </w:r>
      <w:r w:rsidR="003B38CB" w:rsidRPr="006D3942">
        <w:rPr>
          <w:smallCaps/>
        </w:rPr>
        <w:t>Nev. L.J.</w:t>
      </w:r>
      <w:r w:rsidR="003B38CB" w:rsidRPr="006D3942">
        <w:t xml:space="preserve"> 499, 502–03 (2008))</w:t>
      </w:r>
      <w:r w:rsidR="003B38CB">
        <w:t>.</w:t>
      </w:r>
    </w:p>
  </w:footnote>
  <w:footnote w:id="52">
    <w:p w14:paraId="03434389" w14:textId="0B4B2B4B" w:rsidR="006D3942" w:rsidRPr="006D3942" w:rsidRDefault="006D3942" w:rsidP="00695136">
      <w:pPr>
        <w:pStyle w:val="FootNote"/>
      </w:pPr>
      <w:r w:rsidRPr="006D3942">
        <w:tab/>
      </w:r>
      <w:r w:rsidRPr="006D3942">
        <w:rPr>
          <w:rStyle w:val="NoteRefInNote"/>
        </w:rPr>
        <w:footnoteRef/>
      </w:r>
      <w:r w:rsidRPr="006D3942">
        <w:t>. </w:t>
      </w:r>
      <w:r w:rsidR="002F3E31">
        <w:t>T</w:t>
      </w:r>
      <w:r w:rsidRPr="006D3942">
        <w:t xml:space="preserve">he Supreme Court </w:t>
      </w:r>
      <w:r w:rsidR="002F3E31">
        <w:t xml:space="preserve">recently </w:t>
      </w:r>
      <w:r w:rsidRPr="006D3942">
        <w:t xml:space="preserve">overturned </w:t>
      </w:r>
      <w:r w:rsidRPr="00DF0807">
        <w:rPr>
          <w:i/>
          <w:iCs/>
        </w:rPr>
        <w:t>Chevron</w:t>
      </w:r>
      <w:r w:rsidR="00B02D10">
        <w:rPr>
          <w:i/>
          <w:iCs/>
        </w:rPr>
        <w:t>,</w:t>
      </w:r>
      <w:r w:rsidRPr="00DF0807">
        <w:rPr>
          <w:i/>
          <w:iCs/>
        </w:rPr>
        <w:t xml:space="preserve"> U.S.A.</w:t>
      </w:r>
      <w:r w:rsidR="003A09A7">
        <w:rPr>
          <w:i/>
          <w:iCs/>
        </w:rPr>
        <w:t>, Inc.</w:t>
      </w:r>
      <w:r w:rsidRPr="00DF0807">
        <w:rPr>
          <w:i/>
          <w:iCs/>
        </w:rPr>
        <w:t xml:space="preserve"> v. Natural Resources Defense Council, Inc.</w:t>
      </w:r>
      <w:r w:rsidRPr="006D3942">
        <w:t>, 46</w:t>
      </w:r>
      <w:r w:rsidR="00B02D10">
        <w:t>7</w:t>
      </w:r>
      <w:r w:rsidRPr="006D3942">
        <w:t xml:space="preserve"> U.S. 837 (1984)</w:t>
      </w:r>
      <w:r w:rsidR="003A09A7">
        <w:t>,</w:t>
      </w:r>
      <w:r w:rsidRPr="006D3942">
        <w:t xml:space="preserve"> </w:t>
      </w:r>
      <w:r w:rsidR="002F3E31">
        <w:t xml:space="preserve">in </w:t>
      </w:r>
      <w:r w:rsidR="002F3E31" w:rsidRPr="00DF0807">
        <w:rPr>
          <w:i/>
          <w:iCs/>
        </w:rPr>
        <w:t>Loper Bright Enterprises v. Raimondo</w:t>
      </w:r>
      <w:r w:rsidR="002F3E31" w:rsidRPr="006D3942">
        <w:t>, 144 S. Ct. 2244</w:t>
      </w:r>
      <w:r w:rsidR="00615C72">
        <w:t>, 2273</w:t>
      </w:r>
      <w:r w:rsidR="002F3E31" w:rsidRPr="006D3942">
        <w:t xml:space="preserve"> (2024)</w:t>
      </w:r>
      <w:r w:rsidR="002F3E31">
        <w:t xml:space="preserve">. The </w:t>
      </w:r>
      <w:r w:rsidR="002F3E31" w:rsidRPr="00564984">
        <w:rPr>
          <w:i/>
          <w:iCs/>
        </w:rPr>
        <w:t>Chevron</w:t>
      </w:r>
      <w:r w:rsidRPr="006D3942">
        <w:t xml:space="preserve"> standard </w:t>
      </w:r>
      <w:r w:rsidR="002F3E31">
        <w:t xml:space="preserve">had long been </w:t>
      </w:r>
      <w:r w:rsidRPr="006D3942">
        <w:t>applied in immigration law for deference to agency interpretation of the law</w:t>
      </w:r>
      <w:r w:rsidR="002F3E31">
        <w:t>, and</w:t>
      </w:r>
      <w:r w:rsidR="00174A5A">
        <w:t xml:space="preserve"> </w:t>
      </w:r>
      <w:r w:rsidRPr="006D3942">
        <w:t xml:space="preserve">the question of what level of deference to agency interpretation will be applicable in the immigration </w:t>
      </w:r>
      <w:r w:rsidR="00311F19">
        <w:t xml:space="preserve">context </w:t>
      </w:r>
      <w:r w:rsidRPr="006D3942">
        <w:t xml:space="preserve">moving forward remains an open one. </w:t>
      </w:r>
      <w:r w:rsidRPr="006D3942">
        <w:rPr>
          <w:i/>
          <w:iCs/>
        </w:rPr>
        <w:t>See</w:t>
      </w:r>
      <w:r w:rsidRPr="006D3942">
        <w:t xml:space="preserve"> Brian Green</w:t>
      </w:r>
      <w:r w:rsidR="002F3E31">
        <w:t>, Mark Stevens, Cyrus Mehta &amp; Stephen Yale-Loehr</w:t>
      </w:r>
      <w:r w:rsidRPr="006D3942">
        <w:t xml:space="preserve">, </w:t>
      </w:r>
      <w:r w:rsidRPr="006D3942">
        <w:rPr>
          <w:i/>
          <w:iCs/>
        </w:rPr>
        <w:t>Think</w:t>
      </w:r>
      <w:r w:rsidRPr="006D3942">
        <w:t xml:space="preserve"> </w:t>
      </w:r>
      <w:r w:rsidRPr="006D3942">
        <w:rPr>
          <w:i/>
          <w:iCs/>
        </w:rPr>
        <w:t>Immigration:</w:t>
      </w:r>
      <w:r w:rsidRPr="006D3942">
        <w:t xml:space="preserve"> </w:t>
      </w:r>
      <w:r w:rsidRPr="00564984">
        <w:t>Chevron</w:t>
      </w:r>
      <w:r w:rsidRPr="00615C72">
        <w:t xml:space="preserve"> </w:t>
      </w:r>
      <w:r w:rsidRPr="006D3942">
        <w:rPr>
          <w:i/>
          <w:iCs/>
        </w:rPr>
        <w:t>Is</w:t>
      </w:r>
      <w:r w:rsidRPr="006D3942">
        <w:t xml:space="preserve"> </w:t>
      </w:r>
      <w:r w:rsidRPr="006D3942">
        <w:rPr>
          <w:i/>
          <w:iCs/>
        </w:rPr>
        <w:t>Dead!</w:t>
      </w:r>
      <w:r w:rsidRPr="006D3942">
        <w:t xml:space="preserve"> </w:t>
      </w:r>
      <w:r w:rsidRPr="006D3942">
        <w:rPr>
          <w:i/>
          <w:iCs/>
        </w:rPr>
        <w:t>Thoughts</w:t>
      </w:r>
      <w:r w:rsidRPr="006D3942">
        <w:t xml:space="preserve"> </w:t>
      </w:r>
      <w:r w:rsidRPr="006D3942">
        <w:rPr>
          <w:i/>
          <w:iCs/>
        </w:rPr>
        <w:t>on</w:t>
      </w:r>
      <w:r w:rsidRPr="006D3942">
        <w:t xml:space="preserve"> </w:t>
      </w:r>
      <w:r w:rsidRPr="006D3942">
        <w:rPr>
          <w:i/>
          <w:iCs/>
        </w:rPr>
        <w:t>the</w:t>
      </w:r>
      <w:r w:rsidRPr="006D3942">
        <w:t xml:space="preserve"> </w:t>
      </w:r>
      <w:r w:rsidRPr="006D3942">
        <w:rPr>
          <w:i/>
          <w:iCs/>
        </w:rPr>
        <w:t>Immigration</w:t>
      </w:r>
      <w:r w:rsidRPr="006D3942">
        <w:t xml:space="preserve"> </w:t>
      </w:r>
      <w:r w:rsidRPr="006D3942">
        <w:rPr>
          <w:i/>
          <w:iCs/>
        </w:rPr>
        <w:t>Impact</w:t>
      </w:r>
      <w:r w:rsidRPr="006D3942">
        <w:t xml:space="preserve"> </w:t>
      </w:r>
      <w:r w:rsidRPr="006D3942">
        <w:rPr>
          <w:i/>
          <w:iCs/>
        </w:rPr>
        <w:t>of</w:t>
      </w:r>
      <w:r w:rsidRPr="006D3942">
        <w:t xml:space="preserve"> </w:t>
      </w:r>
      <w:r w:rsidRPr="00564984">
        <w:t>Loper</w:t>
      </w:r>
      <w:r w:rsidRPr="00615C72">
        <w:t xml:space="preserve"> </w:t>
      </w:r>
      <w:r w:rsidRPr="00564984">
        <w:t>Bright</w:t>
      </w:r>
      <w:r w:rsidRPr="00615C72">
        <w:t xml:space="preserve"> </w:t>
      </w:r>
      <w:r w:rsidRPr="00564984">
        <w:t>Enterprises</w:t>
      </w:r>
      <w:r w:rsidRPr="006D3942">
        <w:t xml:space="preserve">, </w:t>
      </w:r>
      <w:r w:rsidRPr="006D3942">
        <w:rPr>
          <w:smallCaps/>
        </w:rPr>
        <w:t>A</w:t>
      </w:r>
      <w:r w:rsidR="0049510F">
        <w:rPr>
          <w:smallCaps/>
        </w:rPr>
        <w:t>m. Immigr. Laws. Ass’n</w:t>
      </w:r>
      <w:r w:rsidRPr="006D3942">
        <w:rPr>
          <w:smallCaps/>
        </w:rPr>
        <w:t xml:space="preserve"> </w:t>
      </w:r>
      <w:r w:rsidRPr="006D3942">
        <w:t>(July</w:t>
      </w:r>
      <w:r w:rsidR="00005896">
        <w:rPr>
          <w:smallCaps/>
        </w:rPr>
        <w:t> </w:t>
      </w:r>
      <w:r w:rsidRPr="006D3942">
        <w:t>2,</w:t>
      </w:r>
      <w:r w:rsidR="00005896">
        <w:rPr>
          <w:smallCaps/>
        </w:rPr>
        <w:t> </w:t>
      </w:r>
      <w:r w:rsidRPr="006D3942">
        <w:t>2024), https://www.aila.org/library/think-immigration-chevron-is-dead-thoughts-on-the-immigration-impact-of-loper-bright-enterprises</w:t>
      </w:r>
      <w:r w:rsidR="00024FD4">
        <w:t xml:space="preserve"> [https://perma.cc/JB8A-WEWF]</w:t>
      </w:r>
      <w:r w:rsidRPr="006D3942">
        <w:t xml:space="preserve"> (describing the current state of the law post-</w:t>
      </w:r>
      <w:r w:rsidRPr="006D3942">
        <w:rPr>
          <w:i/>
          <w:iCs/>
        </w:rPr>
        <w:t>Loper Bright</w:t>
      </w:r>
      <w:r w:rsidRPr="006D3942">
        <w:t xml:space="preserve"> and providing arguments for the new standard for agency deference in the immigration legal context).</w:t>
      </w:r>
    </w:p>
  </w:footnote>
  <w:footnote w:id="53">
    <w:p w14:paraId="185701E7" w14:textId="1FED1ACB"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Baibak, </w:t>
      </w:r>
      <w:r w:rsidRPr="006D3942">
        <w:rPr>
          <w:i/>
          <w:iCs/>
        </w:rPr>
        <w:t>supra</w:t>
      </w:r>
      <w:r w:rsidRPr="006D3942">
        <w:t xml:space="preserve"> note </w:t>
      </w:r>
      <w:r w:rsidR="00152D2B">
        <w:fldChar w:fldCharType="begin"/>
      </w:r>
      <w:r w:rsidR="00152D2B">
        <w:instrText xml:space="preserve"> NOTEREF _Ref177479461 \h </w:instrText>
      </w:r>
      <w:r w:rsidR="001E6745">
        <w:instrText xml:space="preserve"> \* MERGEFORMAT </w:instrText>
      </w:r>
      <w:r w:rsidR="00152D2B">
        <w:fldChar w:fldCharType="separate"/>
      </w:r>
      <w:r w:rsidR="00102CC5">
        <w:t>35</w:t>
      </w:r>
      <w:r w:rsidR="00152D2B">
        <w:fldChar w:fldCharType="end"/>
      </w:r>
      <w:r w:rsidRPr="006D3942">
        <w:t xml:space="preserve">, at 999–1000 (explaining </w:t>
      </w:r>
      <w:r w:rsidR="00615C72">
        <w:t>such</w:t>
      </w:r>
      <w:r w:rsidRPr="006D3942">
        <w:t xml:space="preserve"> restrictions).</w:t>
      </w:r>
    </w:p>
  </w:footnote>
  <w:footnote w:id="54">
    <w:p w14:paraId="1A2B15AC" w14:textId="2CD7EC37" w:rsidR="006D3942" w:rsidRPr="006D3942" w:rsidRDefault="006D3942" w:rsidP="00695136">
      <w:pPr>
        <w:pStyle w:val="FootNote"/>
      </w:pPr>
      <w:r w:rsidRPr="006D3942">
        <w:tab/>
      </w:r>
      <w:r w:rsidRPr="006D3942">
        <w:rPr>
          <w:rStyle w:val="NoteRefInNote"/>
        </w:rPr>
        <w:footnoteRef/>
      </w:r>
      <w:r w:rsidRPr="006D3942">
        <w:t xml:space="preserve">. Fatma Marouf, </w:t>
      </w:r>
      <w:r w:rsidRPr="006D3942">
        <w:rPr>
          <w:i/>
          <w:iCs/>
        </w:rPr>
        <w:t>How Immigration Court Work</w:t>
      </w:r>
      <w:r w:rsidR="00615C72">
        <w:rPr>
          <w:i/>
          <w:iCs/>
        </w:rPr>
        <w:t>s</w:t>
      </w:r>
      <w:r w:rsidRPr="006D3942">
        <w:t xml:space="preserve">, </w:t>
      </w:r>
      <w:r w:rsidRPr="00DF0807">
        <w:rPr>
          <w:smallCaps/>
        </w:rPr>
        <w:t>T</w:t>
      </w:r>
      <w:r w:rsidR="00311F19">
        <w:rPr>
          <w:smallCaps/>
        </w:rPr>
        <w:t>he</w:t>
      </w:r>
      <w:r w:rsidRPr="00DF0807">
        <w:rPr>
          <w:smallCaps/>
        </w:rPr>
        <w:t xml:space="preserve"> </w:t>
      </w:r>
      <w:r w:rsidR="00311F19" w:rsidRPr="00DF0807">
        <w:rPr>
          <w:smallCaps/>
        </w:rPr>
        <w:t>C</w:t>
      </w:r>
      <w:r w:rsidR="00311F19">
        <w:rPr>
          <w:smallCaps/>
        </w:rPr>
        <w:t>onversation</w:t>
      </w:r>
      <w:r w:rsidR="00311F19" w:rsidRPr="006D3942">
        <w:t xml:space="preserve"> </w:t>
      </w:r>
      <w:r w:rsidRPr="006D3942">
        <w:t>(June 25, 2018, 6:36</w:t>
      </w:r>
      <w:r w:rsidR="003F4828">
        <w:t> </w:t>
      </w:r>
      <w:r w:rsidRPr="006D3942">
        <w:t>AM), http://theconversation.com/how-immigration-court-works-98678</w:t>
      </w:r>
      <w:r w:rsidR="00024FD4">
        <w:t xml:space="preserve"> [https://perma.cc</w:t>
      </w:r>
      <w:r w:rsidR="007D00BE">
        <w:br/>
      </w:r>
      <w:r w:rsidR="00024FD4">
        <w:t>/7TDW-C99U]</w:t>
      </w:r>
      <w:r w:rsidRPr="006D3942">
        <w:t>.</w:t>
      </w:r>
    </w:p>
  </w:footnote>
  <w:footnote w:id="55">
    <w:p w14:paraId="15CF7C8C" w14:textId="2453CBD7" w:rsidR="006D3942" w:rsidRPr="006D3942" w:rsidRDefault="006D3942" w:rsidP="00695136">
      <w:pPr>
        <w:pStyle w:val="FootNote"/>
      </w:pPr>
      <w:r w:rsidRPr="006D3942">
        <w:tab/>
      </w:r>
      <w:r w:rsidRPr="006D3942">
        <w:rPr>
          <w:rStyle w:val="NoteRefInNote"/>
        </w:rPr>
        <w:footnoteRef/>
      </w:r>
      <w:r w:rsidRPr="006D3942">
        <w:t xml:space="preserve">. 8 C.F.R. </w:t>
      </w:r>
      <w:r>
        <w:t>§ </w:t>
      </w:r>
      <w:r w:rsidRPr="006D3942">
        <w:t>1003.1(h)(1)</w:t>
      </w:r>
      <w:r w:rsidR="00615C72">
        <w:t xml:space="preserve"> (2024)</w:t>
      </w:r>
      <w:r w:rsidRPr="006D3942">
        <w:t xml:space="preserve">; 8 U.S.C. </w:t>
      </w:r>
      <w:r>
        <w:t>§ </w:t>
      </w:r>
      <w:r w:rsidRPr="006D3942">
        <w:t>1103(g)(2).</w:t>
      </w:r>
    </w:p>
  </w:footnote>
  <w:footnote w:id="56">
    <w:p w14:paraId="67D20403" w14:textId="23C1D0C6" w:rsidR="00615C72" w:rsidRPr="00B053B5" w:rsidRDefault="00B053B5" w:rsidP="00695136">
      <w:pPr>
        <w:pStyle w:val="FootNote"/>
      </w:pPr>
      <w:r w:rsidRPr="001E6745">
        <w:tab/>
      </w:r>
      <w:r w:rsidR="00615C72" w:rsidRPr="001E6745">
        <w:rPr>
          <w:rStyle w:val="NoteRefInNote"/>
        </w:rPr>
        <w:footnoteRef/>
      </w:r>
      <w:r w:rsidRPr="001E6745">
        <w:t>. </w:t>
      </w:r>
      <w:r w:rsidR="00615C72" w:rsidRPr="00B053B5">
        <w:t xml:space="preserve">Julie Menke, Note, </w:t>
      </w:r>
      <w:r w:rsidR="00615C72" w:rsidRPr="00B053B5">
        <w:rPr>
          <w:i/>
          <w:iCs/>
        </w:rPr>
        <w:t>Abuse of Power: Immigration Courts and the Attorney General’s Referral Power</w:t>
      </w:r>
      <w:r w:rsidR="00615C72" w:rsidRPr="00B053B5">
        <w:t xml:space="preserve">, 52 </w:t>
      </w:r>
      <w:r w:rsidR="00615C72" w:rsidRPr="00B053B5">
        <w:rPr>
          <w:smallCaps/>
        </w:rPr>
        <w:t xml:space="preserve">Case W. </w:t>
      </w:r>
      <w:r w:rsidR="00B02D10" w:rsidRPr="00B053B5">
        <w:rPr>
          <w:smallCaps/>
        </w:rPr>
        <w:t>Rsrv</w:t>
      </w:r>
      <w:r w:rsidR="00615C72" w:rsidRPr="00B053B5">
        <w:rPr>
          <w:smallCaps/>
        </w:rPr>
        <w:t xml:space="preserve">. J. Int’l L. </w:t>
      </w:r>
      <w:r w:rsidR="00615C72" w:rsidRPr="00B053B5">
        <w:t>599, 608 (2020).</w:t>
      </w:r>
    </w:p>
  </w:footnote>
  <w:footnote w:id="57">
    <w:p w14:paraId="473F96B1" w14:textId="5D944185" w:rsidR="006D3942" w:rsidRPr="006D3942" w:rsidRDefault="006D3942" w:rsidP="00695136">
      <w:pPr>
        <w:pStyle w:val="FootNote"/>
      </w:pPr>
      <w:r w:rsidRPr="006D3942">
        <w:tab/>
      </w:r>
      <w:r w:rsidRPr="006D3942">
        <w:rPr>
          <w:rStyle w:val="NoteRefInNote"/>
        </w:rPr>
        <w:footnoteRef/>
      </w:r>
      <w:r w:rsidRPr="006D3942">
        <w:t>. </w:t>
      </w:r>
      <w:r w:rsidR="00615C72" w:rsidRPr="00564984">
        <w:rPr>
          <w:i/>
          <w:iCs/>
        </w:rPr>
        <w:t>Id.</w:t>
      </w:r>
      <w:r w:rsidR="00615C72">
        <w:t xml:space="preserve"> at </w:t>
      </w:r>
      <w:r w:rsidRPr="006D3942">
        <w:t>608–09.</w:t>
      </w:r>
    </w:p>
  </w:footnote>
  <w:footnote w:id="58">
    <w:p w14:paraId="1DD4D68B" w14:textId="1EC44C29" w:rsidR="006D3942" w:rsidRPr="00615C7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615C72">
        <w:rPr>
          <w:i/>
          <w:iCs/>
        </w:rPr>
        <w:t xml:space="preserve"> </w:t>
      </w:r>
      <w:r w:rsidR="00615C72" w:rsidRPr="00564984">
        <w:t>at 608.</w:t>
      </w:r>
    </w:p>
  </w:footnote>
  <w:footnote w:id="59">
    <w:p w14:paraId="2D527BC7" w14:textId="0B8A461D" w:rsidR="006D3942" w:rsidRPr="00615C72" w:rsidRDefault="006D3942" w:rsidP="00695136">
      <w:pPr>
        <w:pStyle w:val="FootNote"/>
      </w:pPr>
      <w:r w:rsidRPr="006D3942">
        <w:rPr>
          <w:iCs/>
        </w:rPr>
        <w:tab/>
      </w:r>
      <w:r w:rsidRPr="006D3942">
        <w:rPr>
          <w:rStyle w:val="NoteRefInNote"/>
        </w:rPr>
        <w:footnoteRef/>
      </w:r>
      <w:r w:rsidRPr="006D3942">
        <w:rPr>
          <w:iCs/>
        </w:rPr>
        <w:t>. </w:t>
      </w:r>
      <w:r w:rsidR="00B02D10">
        <w:rPr>
          <w:i/>
          <w:iCs/>
        </w:rPr>
        <w:t>See i</w:t>
      </w:r>
      <w:r w:rsidRPr="006D3942">
        <w:rPr>
          <w:i/>
          <w:iCs/>
        </w:rPr>
        <w:t>d.</w:t>
      </w:r>
      <w:r w:rsidR="00615C72">
        <w:rPr>
          <w:i/>
          <w:iCs/>
        </w:rPr>
        <w:t xml:space="preserve"> </w:t>
      </w:r>
      <w:r w:rsidR="00615C72" w:rsidRPr="00564984">
        <w:t>at 608–09</w:t>
      </w:r>
      <w:r w:rsidR="00B02D10">
        <w:t xml:space="preserve"> (“The Attorney General may</w:t>
      </w:r>
      <w:r w:rsidR="00B053B5">
        <w:t xml:space="preserve"> . . .</w:t>
      </w:r>
      <w:r w:rsidR="00B02D10">
        <w:t xml:space="preserve"> choose to strategically select cases for review to advance the presidential administration’s immigration agenda.”).</w:t>
      </w:r>
    </w:p>
  </w:footnote>
  <w:footnote w:id="60">
    <w:p w14:paraId="0EBD3840" w14:textId="539BD385" w:rsidR="006D3942" w:rsidRPr="006D3942" w:rsidRDefault="006D3942" w:rsidP="00695136">
      <w:pPr>
        <w:pStyle w:val="FootNote"/>
      </w:pPr>
      <w:r w:rsidRPr="006D3942">
        <w:tab/>
      </w:r>
      <w:r w:rsidRPr="006D3942">
        <w:rPr>
          <w:rStyle w:val="NoteRefInNote"/>
        </w:rPr>
        <w:footnoteRef/>
      </w:r>
      <w:r w:rsidRPr="006D3942">
        <w:t>. </w:t>
      </w:r>
      <w:r w:rsidR="00472F1C" w:rsidRPr="00564984">
        <w:rPr>
          <w:i/>
          <w:iCs/>
        </w:rPr>
        <w:t>See</w:t>
      </w:r>
      <w:r w:rsidR="00472F1C">
        <w:t xml:space="preserve"> </w:t>
      </w:r>
      <w:r w:rsidRPr="006D3942">
        <w:t xml:space="preserve">Christine Lockhart Poarch, </w:t>
      </w:r>
      <w:r w:rsidRPr="006D3942">
        <w:rPr>
          <w:i/>
          <w:iCs/>
        </w:rPr>
        <w:t>Immigration Court Reform: Congress, Heed the Call</w:t>
      </w:r>
      <w:r w:rsidRPr="006D3942">
        <w:t xml:space="preserve">, </w:t>
      </w:r>
      <w:r w:rsidRPr="006D3942">
        <w:rPr>
          <w:smallCaps/>
        </w:rPr>
        <w:t>Fed. Law</w:t>
      </w:r>
      <w:r w:rsidRPr="006D3942">
        <w:t>., Oct.–Nov. 2016, at 1</w:t>
      </w:r>
      <w:r w:rsidR="00472F1C">
        <w:t>0, 10–11 (discussing the lack of judicial independence in the immigration courts)</w:t>
      </w:r>
      <w:r w:rsidRPr="006D3942">
        <w:t>.</w:t>
      </w:r>
    </w:p>
  </w:footnote>
  <w:footnote w:id="61">
    <w:p w14:paraId="5020747B" w14:textId="52B074EA" w:rsidR="006D3942" w:rsidRPr="00472F1C"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472F1C">
        <w:rPr>
          <w:i/>
          <w:iCs/>
        </w:rPr>
        <w:t xml:space="preserve"> </w:t>
      </w:r>
      <w:r w:rsidR="00472F1C" w:rsidRPr="00564984">
        <w:t>at 11.</w:t>
      </w:r>
    </w:p>
  </w:footnote>
  <w:footnote w:id="62">
    <w:p w14:paraId="609432BB" w14:textId="6472C0D7" w:rsidR="006D3942" w:rsidRPr="006D3942" w:rsidRDefault="006D3942" w:rsidP="00695136">
      <w:pPr>
        <w:pStyle w:val="FootNote"/>
      </w:pPr>
      <w:r w:rsidRPr="006D3942">
        <w:rPr>
          <w:iCs/>
        </w:rPr>
        <w:tab/>
      </w:r>
      <w:r w:rsidRPr="006D3942">
        <w:rPr>
          <w:rStyle w:val="NoteRefInNote"/>
        </w:rPr>
        <w:footnoteRef/>
      </w:r>
      <w:r w:rsidRPr="006D3942">
        <w:rPr>
          <w:iCs/>
        </w:rPr>
        <w:t>. </w:t>
      </w:r>
      <w:r w:rsidR="00472F1C" w:rsidRPr="006D3942">
        <w:t xml:space="preserve">Baibak, </w:t>
      </w:r>
      <w:r w:rsidR="00472F1C" w:rsidRPr="006D3942">
        <w:rPr>
          <w:i/>
          <w:iCs/>
        </w:rPr>
        <w:t>supra</w:t>
      </w:r>
      <w:r w:rsidR="00472F1C" w:rsidRPr="006D3942">
        <w:t xml:space="preserve"> note </w:t>
      </w:r>
      <w:r w:rsidR="00472F1C">
        <w:fldChar w:fldCharType="begin"/>
      </w:r>
      <w:r w:rsidR="00472F1C">
        <w:instrText xml:space="preserve"> NOTEREF _Ref177479461 \h </w:instrText>
      </w:r>
      <w:r w:rsidR="001E6745">
        <w:instrText xml:space="preserve"> \* MERGEFORMAT </w:instrText>
      </w:r>
      <w:r w:rsidR="00472F1C">
        <w:fldChar w:fldCharType="separate"/>
      </w:r>
      <w:r w:rsidR="00102CC5">
        <w:t>35</w:t>
      </w:r>
      <w:r w:rsidR="00472F1C">
        <w:fldChar w:fldCharType="end"/>
      </w:r>
      <w:r w:rsidR="00472F1C" w:rsidRPr="006D3942">
        <w:t>,</w:t>
      </w:r>
      <w:r w:rsidRPr="006D3942">
        <w:rPr>
          <w:i/>
          <w:iCs/>
        </w:rPr>
        <w:t xml:space="preserve"> </w:t>
      </w:r>
      <w:r w:rsidRPr="006D3942">
        <w:t>at 1005.</w:t>
      </w:r>
    </w:p>
  </w:footnote>
  <w:footnote w:id="63">
    <w:p w14:paraId="19DACF22" w14:textId="0619471A" w:rsidR="006D3942" w:rsidRPr="006D3942" w:rsidRDefault="006D3942" w:rsidP="00695136">
      <w:pPr>
        <w:pStyle w:val="FootNote"/>
      </w:pPr>
      <w:r w:rsidRPr="006D3942">
        <w:tab/>
      </w:r>
      <w:r w:rsidRPr="006D3942">
        <w:rPr>
          <w:rStyle w:val="NoteRefInNote"/>
        </w:rPr>
        <w:footnoteRef/>
      </w:r>
      <w:r w:rsidRPr="006D3942">
        <w:t xml:space="preserve">. Holper, </w:t>
      </w:r>
      <w:r w:rsidRPr="006D3942">
        <w:rPr>
          <w:i/>
          <w:iCs/>
        </w:rPr>
        <w:t>supra</w:t>
      </w:r>
      <w:r w:rsidRPr="006D3942">
        <w:t xml:space="preserve"> note </w:t>
      </w:r>
      <w:r w:rsidR="00152D2B">
        <w:fldChar w:fldCharType="begin"/>
      </w:r>
      <w:r w:rsidR="00152D2B">
        <w:instrText xml:space="preserve"> NOTEREF _Ref177479486 \h </w:instrText>
      </w:r>
      <w:r w:rsidR="001E6745">
        <w:instrText xml:space="preserve"> \* MERGEFORMAT </w:instrText>
      </w:r>
      <w:r w:rsidR="00152D2B">
        <w:fldChar w:fldCharType="separate"/>
      </w:r>
      <w:r w:rsidR="00102CC5">
        <w:t>9</w:t>
      </w:r>
      <w:r w:rsidR="00152D2B">
        <w:fldChar w:fldCharType="end"/>
      </w:r>
      <w:r w:rsidRPr="006D3942">
        <w:t>, at 1083.</w:t>
      </w:r>
    </w:p>
  </w:footnote>
  <w:footnote w:id="64">
    <w:p w14:paraId="5EBDCD2B" w14:textId="50988299" w:rsidR="006D3942" w:rsidRPr="006D3942" w:rsidRDefault="006D3942" w:rsidP="00695136">
      <w:pPr>
        <w:pStyle w:val="FootNote"/>
      </w:pPr>
      <w:r w:rsidRPr="006D3942">
        <w:tab/>
      </w:r>
      <w:r w:rsidRPr="006D3942">
        <w:rPr>
          <w:rStyle w:val="NoteRefInNote"/>
        </w:rPr>
        <w:footnoteRef/>
      </w:r>
      <w:r w:rsidRPr="006D3942">
        <w:t xml:space="preserve">. Baibak, </w:t>
      </w:r>
      <w:r w:rsidRPr="006D3942">
        <w:rPr>
          <w:i/>
          <w:iCs/>
        </w:rPr>
        <w:t>supra</w:t>
      </w:r>
      <w:r w:rsidRPr="006D3942">
        <w:t xml:space="preserve"> note </w:t>
      </w:r>
      <w:r w:rsidR="00152D2B">
        <w:fldChar w:fldCharType="begin"/>
      </w:r>
      <w:r w:rsidR="00152D2B">
        <w:instrText xml:space="preserve"> NOTEREF _Ref177479461 \h </w:instrText>
      </w:r>
      <w:r w:rsidR="001E6745">
        <w:instrText xml:space="preserve"> \* MERGEFORMAT </w:instrText>
      </w:r>
      <w:r w:rsidR="00152D2B">
        <w:fldChar w:fldCharType="separate"/>
      </w:r>
      <w:r w:rsidR="00102CC5">
        <w:t>35</w:t>
      </w:r>
      <w:r w:rsidR="00152D2B">
        <w:fldChar w:fldCharType="end"/>
      </w:r>
      <w:r w:rsidRPr="006D3942">
        <w:t xml:space="preserve">, </w:t>
      </w:r>
      <w:r w:rsidR="002D5386">
        <w:t xml:space="preserve">at </w:t>
      </w:r>
      <w:r w:rsidRPr="006D3942">
        <w:t>1005.</w:t>
      </w:r>
    </w:p>
  </w:footnote>
  <w:footnote w:id="65">
    <w:p w14:paraId="628483B1" w14:textId="26B44302" w:rsidR="00824972" w:rsidRPr="00B053B5" w:rsidRDefault="00B053B5" w:rsidP="00695136">
      <w:pPr>
        <w:pStyle w:val="FootNote"/>
      </w:pPr>
      <w:r w:rsidRPr="001E6745">
        <w:tab/>
      </w:r>
      <w:r w:rsidR="00824972" w:rsidRPr="001E6745">
        <w:rPr>
          <w:rStyle w:val="NoteRefInNote"/>
        </w:rPr>
        <w:footnoteRef/>
      </w:r>
      <w:r w:rsidRPr="001E6745">
        <w:t>. </w:t>
      </w:r>
      <w:r w:rsidR="00824972" w:rsidRPr="00B053B5">
        <w:t xml:space="preserve">Tsankov, </w:t>
      </w:r>
      <w:r w:rsidR="00824972" w:rsidRPr="00B053B5">
        <w:rPr>
          <w:i/>
          <w:iCs/>
        </w:rPr>
        <w:t>supra</w:t>
      </w:r>
      <w:r w:rsidR="00824972" w:rsidRPr="00B053B5">
        <w:t xml:space="preserve"> note </w:t>
      </w:r>
      <w:r w:rsidR="00824972" w:rsidRPr="00B053B5">
        <w:fldChar w:fldCharType="begin"/>
      </w:r>
      <w:r w:rsidR="00824972" w:rsidRPr="00B053B5">
        <w:instrText xml:space="preserve"> NOTEREF _Ref177479515 \h </w:instrText>
      </w:r>
      <w:r w:rsidR="00824972" w:rsidRPr="001E6745">
        <w:instrText xml:space="preserve"> \* MERGEFORMAT </w:instrText>
      </w:r>
      <w:r w:rsidR="00824972" w:rsidRPr="00B053B5">
        <w:fldChar w:fldCharType="separate"/>
      </w:r>
      <w:r w:rsidR="00102CC5">
        <w:t>22</w:t>
      </w:r>
      <w:r w:rsidR="00824972" w:rsidRPr="00B053B5">
        <w:fldChar w:fldCharType="end"/>
      </w:r>
      <w:r w:rsidR="00824972" w:rsidRPr="00B053B5">
        <w:t>, at 310</w:t>
      </w:r>
      <w:r w:rsidR="009072FA">
        <w:t>.</w:t>
      </w:r>
    </w:p>
  </w:footnote>
  <w:footnote w:id="66">
    <w:p w14:paraId="45372DD0" w14:textId="5681CCE2" w:rsidR="006D3942" w:rsidRPr="006D3942" w:rsidRDefault="006D3942" w:rsidP="00695136">
      <w:pPr>
        <w:pStyle w:val="FootNote"/>
      </w:pPr>
      <w:r w:rsidRPr="006D3942">
        <w:tab/>
      </w:r>
      <w:r w:rsidRPr="006D3942">
        <w:rPr>
          <w:rStyle w:val="NoteRefInNote"/>
        </w:rPr>
        <w:footnoteRef/>
      </w:r>
      <w:r w:rsidRPr="006D3942">
        <w:t>. </w:t>
      </w:r>
      <w:r w:rsidR="00824972" w:rsidRPr="001E6745">
        <w:rPr>
          <w:i/>
          <w:iCs/>
        </w:rPr>
        <w:t>Id.</w:t>
      </w:r>
      <w:r w:rsidRPr="006D3942">
        <w:t xml:space="preserve">; Birdsong, </w:t>
      </w:r>
      <w:r w:rsidRPr="006D3942">
        <w:rPr>
          <w:i/>
          <w:iCs/>
        </w:rPr>
        <w:t>supra</w:t>
      </w:r>
      <w:r w:rsidRPr="006D3942">
        <w:t xml:space="preserve"> note </w:t>
      </w:r>
      <w:r w:rsidR="00152D2B">
        <w:fldChar w:fldCharType="begin"/>
      </w:r>
      <w:r w:rsidR="00152D2B">
        <w:instrText xml:space="preserve"> NOTEREF _Ref177479237 \h </w:instrText>
      </w:r>
      <w:r w:rsidR="001E6745">
        <w:instrText xml:space="preserve"> \* MERGEFORMAT </w:instrText>
      </w:r>
      <w:r w:rsidR="00152D2B">
        <w:fldChar w:fldCharType="separate"/>
      </w:r>
      <w:r w:rsidR="00102CC5">
        <w:t>33</w:t>
      </w:r>
      <w:r w:rsidR="00152D2B">
        <w:fldChar w:fldCharType="end"/>
      </w:r>
      <w:r w:rsidRPr="006D3942">
        <w:t>, at 35.</w:t>
      </w:r>
    </w:p>
  </w:footnote>
  <w:footnote w:id="67">
    <w:p w14:paraId="2CB38C73" w14:textId="60F1F287"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Courts in Name Only</w:t>
      </w:r>
      <w:r w:rsidRPr="006D3942">
        <w:t xml:space="preserve">, </w:t>
      </w:r>
      <w:r w:rsidRPr="006D3942">
        <w:rPr>
          <w:i/>
          <w:iCs/>
        </w:rPr>
        <w:t>supra</w:t>
      </w:r>
      <w:r w:rsidRPr="006D3942">
        <w:t xml:space="preserve"> note </w:t>
      </w:r>
      <w:r w:rsidR="00EE1E92">
        <w:rPr>
          <w:szCs w:val="17"/>
        </w:rPr>
        <w:fldChar w:fldCharType="begin"/>
      </w:r>
      <w:r w:rsidR="00EE1E92">
        <w:rPr>
          <w:szCs w:val="17"/>
        </w:rPr>
        <w:instrText xml:space="preserve"> NOTEREF _Ref186561727 \h </w:instrText>
      </w:r>
      <w:r w:rsidR="001E6745">
        <w:rPr>
          <w:szCs w:val="17"/>
        </w:rPr>
        <w:instrText xml:space="preserve"> \* MERGEFORMAT </w:instrText>
      </w:r>
      <w:r w:rsidR="00EE1E92">
        <w:rPr>
          <w:szCs w:val="17"/>
        </w:rPr>
      </w:r>
      <w:r w:rsidR="00EE1E92">
        <w:rPr>
          <w:szCs w:val="17"/>
        </w:rPr>
        <w:fldChar w:fldCharType="separate"/>
      </w:r>
      <w:r w:rsidR="00102CC5">
        <w:rPr>
          <w:szCs w:val="17"/>
        </w:rPr>
        <w:t>28</w:t>
      </w:r>
      <w:r w:rsidR="00EE1E92">
        <w:rPr>
          <w:szCs w:val="17"/>
        </w:rPr>
        <w:fldChar w:fldCharType="end"/>
      </w:r>
      <w:r w:rsidRPr="006D3942">
        <w:t xml:space="preserve">, at 915–16; </w:t>
      </w:r>
      <w:r w:rsidR="001F6B4E" w:rsidRPr="00564984">
        <w:rPr>
          <w:smallCaps/>
        </w:rPr>
        <w:t>Katherine H. Reilly,</w:t>
      </w:r>
      <w:r w:rsidR="001F6B4E">
        <w:t xml:space="preserve"> </w:t>
      </w:r>
      <w:r w:rsidRPr="006D3942">
        <w:rPr>
          <w:rStyle w:val="cosmallcaps"/>
          <w:smallCaps/>
          <w:color w:val="3D3D3D"/>
          <w:bdr w:val="none" w:sz="0" w:space="0" w:color="auto" w:frame="1"/>
          <w:shd w:val="clear" w:color="auto" w:fill="FFFFFF"/>
        </w:rPr>
        <w:t>U.S. Dep</w:t>
      </w:r>
      <w:r>
        <w:rPr>
          <w:rStyle w:val="cosmallcaps"/>
          <w:smallCaps/>
          <w:color w:val="3D3D3D"/>
          <w:bdr w:val="none" w:sz="0" w:space="0" w:color="auto" w:frame="1"/>
          <w:shd w:val="clear" w:color="auto" w:fill="FFFFFF"/>
        </w:rPr>
        <w:t>’</w:t>
      </w:r>
      <w:r w:rsidRPr="006D3942">
        <w:rPr>
          <w:rStyle w:val="cosmallcaps"/>
          <w:smallCaps/>
          <w:color w:val="3D3D3D"/>
          <w:bdr w:val="none" w:sz="0" w:space="0" w:color="auto" w:frame="1"/>
          <w:shd w:val="clear" w:color="auto" w:fill="FFFFFF"/>
        </w:rPr>
        <w:t xml:space="preserve">t </w:t>
      </w:r>
      <w:r w:rsidR="001F6B4E">
        <w:rPr>
          <w:rStyle w:val="cosmallcaps"/>
          <w:smallCaps/>
          <w:color w:val="3D3D3D"/>
          <w:bdr w:val="none" w:sz="0" w:space="0" w:color="auto" w:frame="1"/>
          <w:shd w:val="clear" w:color="auto" w:fill="FFFFFF"/>
        </w:rPr>
        <w:t xml:space="preserve">of </w:t>
      </w:r>
      <w:r w:rsidRPr="006D3942">
        <w:rPr>
          <w:rStyle w:val="cosmallcaps"/>
          <w:smallCaps/>
          <w:color w:val="3D3D3D"/>
          <w:bdr w:val="none" w:sz="0" w:space="0" w:color="auto" w:frame="1"/>
          <w:shd w:val="clear" w:color="auto" w:fill="FFFFFF"/>
        </w:rPr>
        <w:t>Just.</w:t>
      </w:r>
      <w:r w:rsidRPr="006D3942">
        <w:rPr>
          <w:rStyle w:val="cosmallcaps"/>
          <w:caps/>
          <w:color w:val="3D3D3D"/>
          <w:bdr w:val="none" w:sz="0" w:space="0" w:color="auto" w:frame="1"/>
          <w:shd w:val="clear" w:color="auto" w:fill="FFFFFF"/>
        </w:rPr>
        <w:t>,</w:t>
      </w:r>
      <w:r w:rsidRPr="006D3942">
        <w:rPr>
          <w:color w:val="000000"/>
        </w:rPr>
        <w:t xml:space="preserve"> </w:t>
      </w:r>
      <w:r w:rsidRPr="006D3942">
        <w:rPr>
          <w:smallCaps/>
          <w:color w:val="000000"/>
        </w:rPr>
        <w:t>Immigration Judge Performance Measures Overview</w:t>
      </w:r>
      <w:r w:rsidRPr="006D3942">
        <w:rPr>
          <w:color w:val="000000"/>
        </w:rPr>
        <w:t xml:space="preserve"> </w:t>
      </w:r>
      <w:r w:rsidR="001F6B4E">
        <w:rPr>
          <w:color w:val="000000"/>
        </w:rPr>
        <w:t xml:space="preserve">1–2 </w:t>
      </w:r>
      <w:r w:rsidRPr="006D3942">
        <w:rPr>
          <w:color w:val="000000"/>
        </w:rPr>
        <w:t>(2018),</w:t>
      </w:r>
      <w:r w:rsidRPr="006D3942">
        <w:t xml:space="preserve"> https://www.aila.org/files/o-files/view-file/AC17F1B0-8C58-48EA-A939-2DABF6D53485</w:t>
      </w:r>
      <w:r w:rsidR="00024FD4">
        <w:t xml:space="preserve"> [https://perma.cc/ZB6P-GUAC]</w:t>
      </w:r>
      <w:r w:rsidRPr="006D3942">
        <w:t>.</w:t>
      </w:r>
    </w:p>
  </w:footnote>
  <w:footnote w:id="68">
    <w:p w14:paraId="125F1FF4" w14:textId="2B65359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001F6B4E">
        <w:rPr>
          <w:i/>
          <w:iCs/>
        </w:rPr>
        <w:t>,</w:t>
      </w:r>
      <w:r w:rsidRPr="006D3942">
        <w:rPr>
          <w:i/>
          <w:iCs/>
        </w:rPr>
        <w:t xml:space="preserve"> e.g.</w:t>
      </w:r>
      <w:r w:rsidRPr="00564984">
        <w:t>,</w:t>
      </w:r>
      <w:r w:rsidRPr="006D3942">
        <w:rPr>
          <w:i/>
          <w:iCs/>
        </w:rPr>
        <w:t xml:space="preserve"> </w:t>
      </w:r>
      <w:r w:rsidR="008A75D6">
        <w:rPr>
          <w:smallCaps/>
        </w:rPr>
        <w:t>Am. Immigr. Laws. Ass</w:t>
      </w:r>
      <w:r w:rsidR="00824972">
        <w:rPr>
          <w:smallCaps/>
        </w:rPr>
        <w:t>’n</w:t>
      </w:r>
      <w:r w:rsidRPr="006D3942">
        <w:t xml:space="preserve">, </w:t>
      </w:r>
      <w:r w:rsidRPr="006D3942">
        <w:rPr>
          <w:smallCaps/>
        </w:rPr>
        <w:t>AILA Policy Brief: Restoring Integrity and Independence to America</w:t>
      </w:r>
      <w:r>
        <w:rPr>
          <w:smallCaps/>
        </w:rPr>
        <w:t>’</w:t>
      </w:r>
      <w:r w:rsidRPr="006D3942">
        <w:rPr>
          <w:smallCaps/>
        </w:rPr>
        <w:t>s Immigration Courts</w:t>
      </w:r>
      <w:r w:rsidRPr="006D3942">
        <w:t xml:space="preserve"> 2–3 (2020), https://www.aila.org/aila-files/BA0F41A4-6D36-49D3-8EFC-</w:t>
      </w:r>
      <w:r w:rsidR="001F6B4E">
        <w:t>F</w:t>
      </w:r>
      <w:r w:rsidRPr="006D3942">
        <w:t>92B18052285/18092834.pdf?1697590107</w:t>
      </w:r>
      <w:r w:rsidR="00024FD4">
        <w:t xml:space="preserve"> </w:t>
      </w:r>
      <w:r w:rsidR="001F6B4E" w:rsidRPr="001F6B4E">
        <w:t>[https://perma.cc</w:t>
      </w:r>
      <w:r w:rsidR="00B053B5">
        <w:br/>
      </w:r>
      <w:r w:rsidR="001F6B4E" w:rsidRPr="001F6B4E">
        <w:t>/D4XA-FBLB]</w:t>
      </w:r>
      <w:r w:rsidRPr="006D3942">
        <w:t xml:space="preserve"> (providing a critique</w:t>
      </w:r>
      <w:r w:rsidR="001F6B4E">
        <w:t xml:space="preserve"> of these policies</w:t>
      </w:r>
      <w:r w:rsidRPr="006D3942">
        <w:t xml:space="preserve">); </w:t>
      </w:r>
      <w:r w:rsidRPr="006D3942">
        <w:rPr>
          <w:i/>
          <w:iCs/>
        </w:rPr>
        <w:t xml:space="preserve">Imposing Quotas on Immigration Judges </w:t>
      </w:r>
      <w:r w:rsidR="008A75D6">
        <w:rPr>
          <w:i/>
          <w:iCs/>
        </w:rPr>
        <w:t>W</w:t>
      </w:r>
      <w:r w:rsidRPr="006D3942">
        <w:rPr>
          <w:i/>
          <w:iCs/>
        </w:rPr>
        <w:t>ill Exacerbate the Case Backlog at Immigration Courts</w:t>
      </w:r>
      <w:r w:rsidRPr="006D3942">
        <w:t xml:space="preserve">, </w:t>
      </w:r>
      <w:r w:rsidRPr="006D3942">
        <w:rPr>
          <w:smallCaps/>
        </w:rPr>
        <w:t>Nat</w:t>
      </w:r>
      <w:r>
        <w:rPr>
          <w:smallCaps/>
        </w:rPr>
        <w:t>’</w:t>
      </w:r>
      <w:r w:rsidRPr="006D3942">
        <w:rPr>
          <w:smallCaps/>
        </w:rPr>
        <w:t>l Ass</w:t>
      </w:r>
      <w:r>
        <w:rPr>
          <w:smallCaps/>
        </w:rPr>
        <w:t>’</w:t>
      </w:r>
      <w:r w:rsidRPr="006D3942">
        <w:rPr>
          <w:smallCaps/>
        </w:rPr>
        <w:t>n of Immigr. Judges</w:t>
      </w:r>
      <w:r w:rsidRPr="006D3942">
        <w:t xml:space="preserve"> (Jan.</w:t>
      </w:r>
      <w:r w:rsidR="009072FA">
        <w:t> </w:t>
      </w:r>
      <w:r w:rsidRPr="006D3942">
        <w:t>31,</w:t>
      </w:r>
      <w:r w:rsidR="009072FA">
        <w:t> </w:t>
      </w:r>
      <w:r w:rsidRPr="006D3942">
        <w:t xml:space="preserve">2018), </w:t>
      </w:r>
      <w:r w:rsidR="00877F28" w:rsidRPr="001E6745">
        <w:t>https://www.naij-usa.org/images/uploads/publications</w:t>
      </w:r>
      <w:r w:rsidRPr="006D3942">
        <w:t>/NAIJ_Imposing_Quotas_</w:t>
      </w:r>
      <w:r w:rsidR="00B053B5">
        <w:br/>
      </w:r>
      <w:r w:rsidRPr="006D3942">
        <w:t>on_IJs_will_Exacerbate_the_Court_Backlog_1-31-18._.pdf</w:t>
      </w:r>
      <w:r w:rsidR="00024FD4">
        <w:t xml:space="preserve"> </w:t>
      </w:r>
      <w:r w:rsidR="001F6B4E" w:rsidRPr="001F6B4E">
        <w:t xml:space="preserve">[https://perma.cc/PN5J-TSUQ] </w:t>
      </w:r>
      <w:r w:rsidRPr="006D3942">
        <w:t xml:space="preserve">(same); </w:t>
      </w:r>
      <w:r w:rsidR="001F6B4E" w:rsidRPr="00564984">
        <w:rPr>
          <w:i/>
          <w:iCs/>
        </w:rPr>
        <w:t xml:space="preserve">Strengthening and Reforming America’s Immigration Court System: Hearing Before the Subcomm. on Border Sec. &amp; Immigr. of the S. </w:t>
      </w:r>
      <w:r w:rsidR="008A75D6">
        <w:rPr>
          <w:i/>
          <w:iCs/>
        </w:rPr>
        <w:t xml:space="preserve">Judiciary </w:t>
      </w:r>
      <w:r w:rsidR="001F6B4E" w:rsidRPr="00564984">
        <w:rPr>
          <w:i/>
          <w:iCs/>
        </w:rPr>
        <w:t>Comm.</w:t>
      </w:r>
      <w:r w:rsidR="001F6B4E">
        <w:t>, 115</w:t>
      </w:r>
      <w:r w:rsidR="001F6B4E" w:rsidRPr="001F6B4E">
        <w:t>th</w:t>
      </w:r>
      <w:r w:rsidR="001F6B4E">
        <w:t xml:space="preserve"> Cong. 7–8 (2018) (statement of </w:t>
      </w:r>
      <w:r w:rsidR="008A75D6">
        <w:t xml:space="preserve">J. </w:t>
      </w:r>
      <w:r w:rsidRPr="006D3942">
        <w:t>A. Ashley Tabaddor, President</w:t>
      </w:r>
      <w:r w:rsidR="001F6B4E">
        <w:t>,</w:t>
      </w:r>
      <w:r w:rsidRPr="006D3942">
        <w:t xml:space="preserve"> Nat</w:t>
      </w:r>
      <w:r w:rsidR="001F6B4E">
        <w:t>iona</w:t>
      </w:r>
      <w:r w:rsidRPr="006D3942">
        <w:t>l Ass</w:t>
      </w:r>
      <w:r w:rsidR="001F6B4E">
        <w:t>ociatio</w:t>
      </w:r>
      <w:r w:rsidRPr="006D3942">
        <w:t>n of Immigr</w:t>
      </w:r>
      <w:r w:rsidR="001F6B4E">
        <w:t>ation</w:t>
      </w:r>
      <w:r w:rsidRPr="006D3942">
        <w:t xml:space="preserve"> Judges</w:t>
      </w:r>
      <w:r w:rsidR="001F6B4E">
        <w:t>)</w:t>
      </w:r>
      <w:r w:rsidRPr="006D3942">
        <w:t>, https://www.judiciary.senate.gov/imo/media/doc/04-18-18%20Tabaddor%20Testimony.pdf</w:t>
      </w:r>
      <w:r w:rsidR="00024FD4">
        <w:t xml:space="preserve"> [https://perma.cc/NK5D-BKV3]</w:t>
      </w:r>
      <w:r w:rsidRPr="006D3942">
        <w:t xml:space="preserve"> (same).</w:t>
      </w:r>
    </w:p>
  </w:footnote>
  <w:footnote w:id="69">
    <w:p w14:paraId="15AF63E8" w14:textId="2CC01F46" w:rsidR="006D3942" w:rsidRPr="006D3942" w:rsidRDefault="006D3942" w:rsidP="00695136">
      <w:pPr>
        <w:pStyle w:val="FootNote"/>
      </w:pPr>
      <w:r w:rsidRPr="006D3942">
        <w:tab/>
      </w:r>
      <w:r w:rsidRPr="006D3942">
        <w:rPr>
          <w:rStyle w:val="NoteRefInNote"/>
        </w:rPr>
        <w:footnoteRef/>
      </w:r>
      <w:r w:rsidRPr="006D3942">
        <w:t xml:space="preserve">. Buteyn, </w:t>
      </w:r>
      <w:r w:rsidRPr="006D3942">
        <w:rPr>
          <w:i/>
          <w:iCs/>
        </w:rPr>
        <w:t>supra</w:t>
      </w:r>
      <w:r w:rsidRPr="006D3942">
        <w:t xml:space="preserve"> note </w:t>
      </w:r>
      <w:r w:rsidR="00152D2B">
        <w:fldChar w:fldCharType="begin"/>
      </w:r>
      <w:r w:rsidR="00152D2B">
        <w:instrText xml:space="preserve"> NOTEREF _Ref177479220 \h </w:instrText>
      </w:r>
      <w:r w:rsidR="001E6745">
        <w:instrText xml:space="preserve"> \* MERGEFORMAT </w:instrText>
      </w:r>
      <w:r w:rsidR="00152D2B">
        <w:fldChar w:fldCharType="separate"/>
      </w:r>
      <w:r w:rsidR="00102CC5">
        <w:t>18</w:t>
      </w:r>
      <w:r w:rsidR="00152D2B">
        <w:fldChar w:fldCharType="end"/>
      </w:r>
      <w:r w:rsidRPr="006D3942">
        <w:t>, at 973</w:t>
      </w:r>
      <w:r w:rsidR="001F6B4E">
        <w:t xml:space="preserve">–74; </w:t>
      </w:r>
      <w:r w:rsidR="001F6B4E" w:rsidRPr="001F6B4E">
        <w:t xml:space="preserve">Zolan Kanno-Youngs, </w:t>
      </w:r>
      <w:r w:rsidR="001F6B4E" w:rsidRPr="00564984">
        <w:rPr>
          <w:i/>
          <w:iCs/>
        </w:rPr>
        <w:t>Immigration Judges’ Union Lodges Labor Complaints Against Trump Administration</w:t>
      </w:r>
      <w:r w:rsidR="001F6B4E" w:rsidRPr="001F6B4E">
        <w:t xml:space="preserve">, </w:t>
      </w:r>
      <w:r w:rsidR="001F6B4E" w:rsidRPr="00564984">
        <w:rPr>
          <w:smallCaps/>
        </w:rPr>
        <w:t>N.Y. Times</w:t>
      </w:r>
      <w:r w:rsidR="001F6B4E" w:rsidRPr="001F6B4E">
        <w:t xml:space="preserve"> (Sept. 27, 2019)</w:t>
      </w:r>
      <w:r w:rsidR="001F6B4E">
        <w:t>,</w:t>
      </w:r>
      <w:r w:rsidR="001F6B4E" w:rsidRPr="001F6B4E">
        <w:t xml:space="preserve"> </w:t>
      </w:r>
      <w:r w:rsidR="00FA0994" w:rsidRPr="00C3649B">
        <w:t>https://www.nytimes.com/2019/09/27/us/politics/immigration-judges-union.html</w:t>
      </w:r>
      <w:r w:rsidR="001F6B4E">
        <w:t xml:space="preserve"> [https://perma.cc/SZ63-HR79]</w:t>
      </w:r>
      <w:r w:rsidRPr="006D3942">
        <w:t>.</w:t>
      </w:r>
    </w:p>
  </w:footnote>
  <w:footnote w:id="70">
    <w:p w14:paraId="1C15DE93" w14:textId="7CBD5C71" w:rsidR="008A75D6" w:rsidRPr="00564984" w:rsidRDefault="00B053B5" w:rsidP="00695136">
      <w:pPr>
        <w:pStyle w:val="FootNote"/>
      </w:pPr>
      <w:r w:rsidRPr="001E6745">
        <w:rPr>
          <w:szCs w:val="17"/>
        </w:rPr>
        <w:tab/>
      </w:r>
      <w:r w:rsidR="001F6B4E" w:rsidRPr="001E6745">
        <w:rPr>
          <w:rStyle w:val="NoteRefInNote"/>
        </w:rPr>
        <w:footnoteRef/>
      </w:r>
      <w:r w:rsidRPr="001E6745">
        <w:rPr>
          <w:szCs w:val="17"/>
        </w:rPr>
        <w:t>. </w:t>
      </w:r>
      <w:r w:rsidR="00AC5204" w:rsidRPr="00B053B5">
        <w:rPr>
          <w:i/>
          <w:iCs/>
          <w:szCs w:val="17"/>
        </w:rPr>
        <w:t>Asylum Manual</w:t>
      </w:r>
      <w:r w:rsidR="00AC5204" w:rsidRPr="00B053B5">
        <w:rPr>
          <w:szCs w:val="17"/>
        </w:rPr>
        <w:t xml:space="preserve">, </w:t>
      </w:r>
      <w:r w:rsidR="008A75D6" w:rsidRPr="00B053B5">
        <w:rPr>
          <w:smallCaps/>
          <w:szCs w:val="17"/>
        </w:rPr>
        <w:t>Immigr. Equal. §</w:t>
      </w:r>
      <w:r w:rsidR="00877F28" w:rsidRPr="001E6745">
        <w:rPr>
          <w:smallCaps/>
          <w:szCs w:val="17"/>
        </w:rPr>
        <w:t> </w:t>
      </w:r>
      <w:r w:rsidR="008A75D6" w:rsidRPr="00B053B5">
        <w:rPr>
          <w:smallCaps/>
          <w:szCs w:val="17"/>
        </w:rPr>
        <w:t xml:space="preserve">26.5, </w:t>
      </w:r>
      <w:r w:rsidR="00877F28" w:rsidRPr="001E6745">
        <w:t>https://immigrationequality.org/asylum</w:t>
      </w:r>
      <w:r w:rsidR="00877F28" w:rsidRPr="001E6745">
        <w:br/>
      </w:r>
      <w:r w:rsidR="003157C4" w:rsidRPr="001E6745">
        <w:t>/asylum-manual/immigration-court-proceedings/</w:t>
      </w:r>
      <w:r w:rsidR="008A75D6" w:rsidRPr="00B053B5">
        <w:rPr>
          <w:szCs w:val="17"/>
        </w:rPr>
        <w:t xml:space="preserve"> [https://perma.cc/AX3D-WWG3].</w:t>
      </w:r>
    </w:p>
  </w:footnote>
  <w:footnote w:id="71">
    <w:p w14:paraId="68C3A44A" w14:textId="6068733A"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8 C.F.R. </w:t>
      </w:r>
      <w:r>
        <w:t>§</w:t>
      </w:r>
      <w:r w:rsidR="001F6B4E">
        <w:t>§</w:t>
      </w:r>
      <w:r>
        <w:t> </w:t>
      </w:r>
      <w:r w:rsidRPr="006D3942">
        <w:t>1240.12</w:t>
      </w:r>
      <w:r w:rsidR="001F6B4E">
        <w:t>(a), 1240.13(a)</w:t>
      </w:r>
      <w:r w:rsidRPr="006D3942">
        <w:t xml:space="preserve"> </w:t>
      </w:r>
      <w:r w:rsidR="001F6B4E">
        <w:t xml:space="preserve">(2024) </w:t>
      </w:r>
      <w:r w:rsidRPr="006D3942">
        <w:t xml:space="preserve">(providing </w:t>
      </w:r>
      <w:r w:rsidR="001F6B4E">
        <w:t>that a decision may be oral or written</w:t>
      </w:r>
      <w:r w:rsidR="00877F28">
        <w:t>,</w:t>
      </w:r>
      <w:r w:rsidR="001F6B4E">
        <w:t xml:space="preserve"> and that a written decision must be sent only to </w:t>
      </w:r>
      <w:r w:rsidR="00877F28">
        <w:t xml:space="preserve">the </w:t>
      </w:r>
      <w:r w:rsidR="001F6B4E">
        <w:t>respondent and DHS counsel)</w:t>
      </w:r>
      <w:r w:rsidRPr="006D3942">
        <w:t>.</w:t>
      </w:r>
    </w:p>
  </w:footnote>
  <w:footnote w:id="72">
    <w:p w14:paraId="12F5E7A9" w14:textId="002C494D" w:rsidR="006D3942" w:rsidRPr="006D3942" w:rsidRDefault="006D3942" w:rsidP="00695136">
      <w:pPr>
        <w:pStyle w:val="FootNote"/>
      </w:pPr>
      <w:r w:rsidRPr="006D3942">
        <w:tab/>
      </w:r>
      <w:r w:rsidRPr="006D3942">
        <w:rPr>
          <w:rStyle w:val="NoteRefInNote"/>
        </w:rPr>
        <w:footnoteRef/>
      </w:r>
      <w:r w:rsidRPr="006D3942">
        <w:t xml:space="preserve">. Legomsky, </w:t>
      </w:r>
      <w:r w:rsidRPr="006D3942">
        <w:rPr>
          <w:i/>
          <w:iCs/>
        </w:rPr>
        <w:t>supra</w:t>
      </w:r>
      <w:r w:rsidRPr="006D3942">
        <w:t xml:space="preserve"> note </w:t>
      </w:r>
      <w:r w:rsidR="00152D2B">
        <w:fldChar w:fldCharType="begin"/>
      </w:r>
      <w:r w:rsidR="00152D2B">
        <w:instrText xml:space="preserve"> NOTEREF _Ref177479292 \h </w:instrText>
      </w:r>
      <w:r w:rsidR="001E6745">
        <w:instrText xml:space="preserve"> \* MERGEFORMAT </w:instrText>
      </w:r>
      <w:r w:rsidR="00152D2B">
        <w:fldChar w:fldCharType="separate"/>
      </w:r>
      <w:r w:rsidR="00102CC5">
        <w:t>23</w:t>
      </w:r>
      <w:r w:rsidR="00152D2B">
        <w:fldChar w:fldCharType="end"/>
      </w:r>
      <w:r w:rsidRPr="006D3942">
        <w:t>, at 1657.</w:t>
      </w:r>
    </w:p>
  </w:footnote>
  <w:footnote w:id="73">
    <w:p w14:paraId="652F21CB" w14:textId="3D6FE7C1"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74">
    <w:p w14:paraId="238BE5F4" w14:textId="494E6FA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 xml:space="preserve">See </w:t>
      </w:r>
      <w:r w:rsidR="001F6B4E" w:rsidRPr="00564984">
        <w:rPr>
          <w:i/>
          <w:iCs/>
        </w:rPr>
        <w:t>Judge-by-Judge Asylum Decisions in Immigration Courts FY 2018</w:t>
      </w:r>
      <w:r w:rsidR="006F380D">
        <w:rPr>
          <w:i/>
          <w:iCs/>
        </w:rPr>
        <w:t>–</w:t>
      </w:r>
      <w:r w:rsidR="001F6B4E" w:rsidRPr="00564984">
        <w:rPr>
          <w:i/>
          <w:iCs/>
        </w:rPr>
        <w:t>2023</w:t>
      </w:r>
      <w:r w:rsidR="001F6B4E" w:rsidRPr="006D3942">
        <w:t xml:space="preserve">, </w:t>
      </w:r>
      <w:r w:rsidR="001F6B4E" w:rsidRPr="006D3942">
        <w:rPr>
          <w:smallCaps/>
        </w:rPr>
        <w:t>Transact</w:t>
      </w:r>
      <w:r w:rsidR="006F380D">
        <w:rPr>
          <w:smallCaps/>
        </w:rPr>
        <w:t>.</w:t>
      </w:r>
      <w:r w:rsidR="001F6B4E" w:rsidRPr="006D3942">
        <w:rPr>
          <w:smallCaps/>
        </w:rPr>
        <w:t xml:space="preserve"> </w:t>
      </w:r>
      <w:r w:rsidR="008A75D6">
        <w:rPr>
          <w:smallCaps/>
        </w:rPr>
        <w:t>Recs.</w:t>
      </w:r>
      <w:r w:rsidR="008A75D6" w:rsidRPr="006D3942">
        <w:rPr>
          <w:smallCaps/>
        </w:rPr>
        <w:t xml:space="preserve"> </w:t>
      </w:r>
      <w:r w:rsidR="001F6B4E" w:rsidRPr="006D3942">
        <w:rPr>
          <w:smallCaps/>
        </w:rPr>
        <w:t xml:space="preserve">Access Clearinghouse </w:t>
      </w:r>
      <w:r w:rsidR="003C6EC4">
        <w:rPr>
          <w:smallCaps/>
        </w:rPr>
        <w:t>(</w:t>
      </w:r>
      <w:r w:rsidR="008A75D6">
        <w:t xml:space="preserve">Oct. 19, </w:t>
      </w:r>
      <w:r w:rsidR="003C6EC4">
        <w:rPr>
          <w:smallCaps/>
        </w:rPr>
        <w:t>2023)</w:t>
      </w:r>
      <w:r w:rsidR="001F6B4E" w:rsidRPr="006D3942">
        <w:t xml:space="preserve">, </w:t>
      </w:r>
      <w:r w:rsidR="006F380D" w:rsidRPr="001E6745">
        <w:t>https://trac.syr.edu/immigration</w:t>
      </w:r>
      <w:r w:rsidR="006F380D">
        <w:br/>
      </w:r>
      <w:r w:rsidR="00002D3D" w:rsidRPr="00C3649B">
        <w:t>/reports/judgereports/ [https://perma.cc/BJQ3-2BFV]</w:t>
      </w:r>
      <w:r w:rsidR="001F6B4E">
        <w:t xml:space="preserve"> </w:t>
      </w:r>
      <w:r w:rsidRPr="006D3942">
        <w:t>(</w:t>
      </w:r>
      <w:r w:rsidR="00276B6E">
        <w:t>listing for each IJ the percentage of asylum requests granted between 2018 and 2023</w:t>
      </w:r>
      <w:r w:rsidRPr="006D3942">
        <w:t>).</w:t>
      </w:r>
    </w:p>
  </w:footnote>
  <w:footnote w:id="75">
    <w:p w14:paraId="585E4CEA" w14:textId="55B05DF4"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 e.g.</w:t>
      </w:r>
      <w:r w:rsidRPr="006D3942">
        <w:t xml:space="preserve">, Legomsky, </w:t>
      </w:r>
      <w:r w:rsidRPr="006D3942">
        <w:rPr>
          <w:i/>
          <w:iCs/>
        </w:rPr>
        <w:t>supra</w:t>
      </w:r>
      <w:r w:rsidRPr="006D3942">
        <w:t xml:space="preserve"> note </w:t>
      </w:r>
      <w:r w:rsidR="00152D2B">
        <w:fldChar w:fldCharType="begin"/>
      </w:r>
      <w:r w:rsidR="00152D2B">
        <w:instrText xml:space="preserve"> NOTEREF _Ref177479292 \h </w:instrText>
      </w:r>
      <w:r w:rsidR="001E6745">
        <w:instrText xml:space="preserve"> \* MERGEFORMAT </w:instrText>
      </w:r>
      <w:r w:rsidR="00152D2B">
        <w:fldChar w:fldCharType="separate"/>
      </w:r>
      <w:r w:rsidR="00102CC5">
        <w:t>23</w:t>
      </w:r>
      <w:r w:rsidR="00152D2B">
        <w:fldChar w:fldCharType="end"/>
      </w:r>
      <w:r w:rsidRPr="006D3942">
        <w:t>, at 1675</w:t>
      </w:r>
      <w:r w:rsidR="00CE47D3">
        <w:t xml:space="preserve"> &amp;</w:t>
      </w:r>
      <w:r w:rsidRPr="006D3942">
        <w:t xml:space="preserve"> n</w:t>
      </w:r>
      <w:r w:rsidR="00CE47D3">
        <w:t>n</w:t>
      </w:r>
      <w:r w:rsidRPr="006D3942">
        <w:t>.191</w:t>
      </w:r>
      <w:r w:rsidR="00CE47D3">
        <w:t>–</w:t>
      </w:r>
      <w:r w:rsidRPr="006D3942">
        <w:t>92 (</w:t>
      </w:r>
      <w:r w:rsidR="00592F5D">
        <w:t>discussing</w:t>
      </w:r>
      <w:r w:rsidRPr="006D3942">
        <w:t xml:space="preserve"> criticisms</w:t>
      </w:r>
      <w:r w:rsidR="00592F5D">
        <w:t xml:space="preserve"> of immigration judge behavior</w:t>
      </w:r>
      <w:r w:rsidRPr="006D3942">
        <w:t xml:space="preserve">); </w:t>
      </w:r>
      <w:r w:rsidRPr="006D3942">
        <w:rPr>
          <w:smallCaps/>
        </w:rPr>
        <w:t>The Advoc</w:t>
      </w:r>
      <w:r w:rsidR="00CE47D3">
        <w:rPr>
          <w:smallCaps/>
        </w:rPr>
        <w:t>s</w:t>
      </w:r>
      <w:r w:rsidRPr="006D3942">
        <w:rPr>
          <w:smallCaps/>
        </w:rPr>
        <w:t>. for Hum. Rts., Witness to Immigration Court: Stakeholder Report from the Immigration Court Observation Project 22</w:t>
      </w:r>
      <w:r w:rsidRPr="006D3942">
        <w:t>–25 (2021), https://www.theadvocatesforhumanrights.org/Res/Witness%20to%20Immigration%20Court-Stakeholder%20Report%20%209.1.20-3.31.21%20FINAL.pdf</w:t>
      </w:r>
      <w:r w:rsidR="00024FD4">
        <w:t xml:space="preserve"> [</w:t>
      </w:r>
      <w:r w:rsidR="00AF4D4A" w:rsidRPr="00AF4D4A">
        <w:t>https://perma.cc/DW4W-K77G</w:t>
      </w:r>
      <w:r w:rsidR="00024FD4">
        <w:t>]</w:t>
      </w:r>
      <w:r w:rsidRPr="006D3942">
        <w:t xml:space="preserve"> (</w:t>
      </w:r>
      <w:r w:rsidR="00F97C5B">
        <w:t>reporting on</w:t>
      </w:r>
      <w:r w:rsidR="00592F5D">
        <w:t xml:space="preserve"> </w:t>
      </w:r>
      <w:r w:rsidR="00F97C5B">
        <w:t>observers’ comments about</w:t>
      </w:r>
      <w:r w:rsidR="00825361">
        <w:t xml:space="preserve"> judicial behavior in immigration court and assessing </w:t>
      </w:r>
      <w:r w:rsidR="00592F5D">
        <w:t xml:space="preserve">systemic problems </w:t>
      </w:r>
      <w:r w:rsidR="00F97C5B">
        <w:t>in</w:t>
      </w:r>
      <w:r w:rsidR="00592F5D">
        <w:t xml:space="preserve"> </w:t>
      </w:r>
      <w:r w:rsidR="00F97C5B">
        <w:t>I</w:t>
      </w:r>
      <w:r w:rsidR="00592F5D">
        <w:t xml:space="preserve">mmigration </w:t>
      </w:r>
      <w:r w:rsidR="00F97C5B">
        <w:t>C</w:t>
      </w:r>
      <w:r w:rsidR="00592F5D">
        <w:t>ourt</w:t>
      </w:r>
      <w:r w:rsidRPr="006D3942">
        <w:t>).</w:t>
      </w:r>
    </w:p>
  </w:footnote>
  <w:footnote w:id="76">
    <w:p w14:paraId="4D293C7C" w14:textId="314143B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w:t>
      </w:r>
      <w:r w:rsidR="00825361">
        <w:rPr>
          <w:smallCaps/>
        </w:rPr>
        <w:t>Am. Immigr. Laws. Ass</w:t>
      </w:r>
      <w:r w:rsidR="006F380D">
        <w:rPr>
          <w:smallCaps/>
        </w:rPr>
        <w:t>’n</w:t>
      </w:r>
      <w:r w:rsidR="00825361">
        <w:rPr>
          <w:smallCaps/>
        </w:rPr>
        <w:t>.</w:t>
      </w:r>
      <w:r w:rsidRPr="006D3942">
        <w:t>,</w:t>
      </w:r>
      <w:r w:rsidRPr="006D3942">
        <w:rPr>
          <w:smallCaps/>
        </w:rPr>
        <w:t xml:space="preserve"> </w:t>
      </w:r>
      <w:r w:rsidRPr="006D3942">
        <w:rPr>
          <w:i/>
          <w:iCs/>
        </w:rPr>
        <w:t>supra</w:t>
      </w:r>
      <w:r w:rsidRPr="006D3942">
        <w:t xml:space="preserve"> note </w:t>
      </w:r>
      <w:r w:rsidR="00152D2B">
        <w:fldChar w:fldCharType="begin"/>
      </w:r>
      <w:r w:rsidR="00152D2B">
        <w:instrText xml:space="preserve"> NOTEREF _Ref177479657 \h </w:instrText>
      </w:r>
      <w:r w:rsidR="001E6745">
        <w:instrText xml:space="preserve"> \* MERGEFORMAT </w:instrText>
      </w:r>
      <w:r w:rsidR="00152D2B">
        <w:fldChar w:fldCharType="separate"/>
      </w:r>
      <w:r w:rsidR="00102CC5">
        <w:t>68</w:t>
      </w:r>
      <w:r w:rsidR="00152D2B">
        <w:fldChar w:fldCharType="end"/>
      </w:r>
      <w:r w:rsidRPr="006D3942">
        <w:t xml:space="preserve">, at </w:t>
      </w:r>
      <w:r w:rsidR="00BB7917">
        <w:t xml:space="preserve">1, </w:t>
      </w:r>
      <w:r w:rsidRPr="006D3942">
        <w:t>3</w:t>
      </w:r>
      <w:r w:rsidR="002D5386">
        <w:t>–</w:t>
      </w:r>
      <w:r w:rsidRPr="006D3942">
        <w:t>5 (</w:t>
      </w:r>
      <w:r w:rsidR="00BB7917">
        <w:t>discussing the detrimental effects of these self-certifications</w:t>
      </w:r>
      <w:r w:rsidRPr="006D3942">
        <w:t>).</w:t>
      </w:r>
    </w:p>
  </w:footnote>
  <w:footnote w:id="77">
    <w:p w14:paraId="6C7CD268" w14:textId="4E8C67CC" w:rsidR="006D3942" w:rsidRPr="006D3942" w:rsidRDefault="006D3942" w:rsidP="00695136">
      <w:pPr>
        <w:pStyle w:val="FootNote"/>
      </w:pPr>
      <w:r w:rsidRPr="006D3942">
        <w:rPr>
          <w:iCs/>
        </w:rPr>
        <w:tab/>
      </w:r>
      <w:r w:rsidRPr="006D3942">
        <w:rPr>
          <w:rStyle w:val="NoteRefInNote"/>
        </w:rPr>
        <w:footnoteRef/>
      </w:r>
      <w:r w:rsidRPr="006D3942">
        <w:rPr>
          <w:iCs/>
        </w:rPr>
        <w:t>. </w:t>
      </w:r>
      <w:r w:rsidR="0035098E">
        <w:rPr>
          <w:i/>
          <w:iCs/>
        </w:rPr>
        <w:t>I</w:t>
      </w:r>
      <w:r w:rsidRPr="006D3942">
        <w:rPr>
          <w:i/>
          <w:iCs/>
        </w:rPr>
        <w:t xml:space="preserve">d. </w:t>
      </w:r>
      <w:r w:rsidR="0035098E" w:rsidRPr="00564984">
        <w:t>at 1, 3–4</w:t>
      </w:r>
      <w:r w:rsidRPr="006D3942">
        <w:t>.</w:t>
      </w:r>
    </w:p>
  </w:footnote>
  <w:footnote w:id="78">
    <w:p w14:paraId="35675C2D" w14:textId="63E7A408" w:rsidR="006D3942" w:rsidRPr="006D3942" w:rsidRDefault="006D3942" w:rsidP="00695136">
      <w:pPr>
        <w:pStyle w:val="FootNote"/>
      </w:pPr>
      <w:r w:rsidRPr="006D3942">
        <w:tab/>
      </w:r>
      <w:r w:rsidRPr="006D3942">
        <w:rPr>
          <w:rStyle w:val="NoteRefInNote"/>
        </w:rPr>
        <w:footnoteRef/>
      </w:r>
      <w:r w:rsidRPr="006D3942">
        <w:t>. A-B-, 27 I</w:t>
      </w:r>
      <w:r w:rsidR="00E855D3">
        <w:t xml:space="preserve">. </w:t>
      </w:r>
      <w:r w:rsidRPr="006D3942">
        <w:t>&amp;</w:t>
      </w:r>
      <w:r w:rsidR="00E855D3">
        <w:t xml:space="preserve"> </w:t>
      </w:r>
      <w:r w:rsidRPr="006D3942">
        <w:t>N</w:t>
      </w:r>
      <w:r w:rsidR="00E855D3">
        <w:t>.</w:t>
      </w:r>
      <w:r w:rsidRPr="006D3942">
        <w:t xml:space="preserve"> Dec. 316 (A</w:t>
      </w:r>
      <w:r w:rsidR="00D96575">
        <w:t>tt’y Gen.</w:t>
      </w:r>
      <w:r w:rsidRPr="006D3942">
        <w:t xml:space="preserve"> 2018).</w:t>
      </w:r>
    </w:p>
  </w:footnote>
  <w:footnote w:id="79">
    <w:p w14:paraId="37577F55" w14:textId="5B90CB95" w:rsidR="006D3942" w:rsidRPr="007F7F65" w:rsidRDefault="006D3942" w:rsidP="00695136">
      <w:pPr>
        <w:pStyle w:val="FootNote"/>
        <w:rPr>
          <w:lang w:val="es-MX"/>
        </w:rPr>
      </w:pPr>
      <w:r w:rsidRPr="006D3942">
        <w:tab/>
      </w:r>
      <w:r w:rsidRPr="006D3942">
        <w:rPr>
          <w:rStyle w:val="NoteRefInNote"/>
        </w:rPr>
        <w:footnoteRef/>
      </w:r>
      <w:r w:rsidRPr="007F7F65">
        <w:rPr>
          <w:lang w:val="es-MX"/>
        </w:rPr>
        <w:t xml:space="preserve">. Castro-Tum, 27 </w:t>
      </w:r>
      <w:r w:rsidR="00E855D3" w:rsidRPr="007F7F65">
        <w:rPr>
          <w:lang w:val="es-MX"/>
        </w:rPr>
        <w:t xml:space="preserve">I. &amp; N. </w:t>
      </w:r>
      <w:r w:rsidRPr="007F7F65">
        <w:rPr>
          <w:lang w:val="es-MX"/>
        </w:rPr>
        <w:t>Dec. 271 (</w:t>
      </w:r>
      <w:r w:rsidR="00D96575" w:rsidRPr="007F7F65">
        <w:rPr>
          <w:lang w:val="es-MX"/>
        </w:rPr>
        <w:t xml:space="preserve">Att’y Gen. </w:t>
      </w:r>
      <w:r w:rsidRPr="007F7F65">
        <w:rPr>
          <w:lang w:val="es-MX"/>
        </w:rPr>
        <w:t>2018).</w:t>
      </w:r>
    </w:p>
  </w:footnote>
  <w:footnote w:id="80">
    <w:p w14:paraId="09B5617B" w14:textId="48A01251" w:rsidR="006D3942" w:rsidRPr="006D3942" w:rsidRDefault="006D3942" w:rsidP="00695136">
      <w:pPr>
        <w:pStyle w:val="FootNote"/>
      </w:pPr>
      <w:r w:rsidRPr="007F7F65">
        <w:rPr>
          <w:iCs/>
          <w:lang w:val="es-MX"/>
        </w:rPr>
        <w:tab/>
      </w:r>
      <w:r w:rsidRPr="006D3942">
        <w:rPr>
          <w:rStyle w:val="NoteRefInNote"/>
        </w:rPr>
        <w:footnoteRef/>
      </w:r>
      <w:r w:rsidRPr="006D3942">
        <w:rPr>
          <w:iCs/>
        </w:rPr>
        <w:t>. </w:t>
      </w:r>
      <w:r w:rsidRPr="006D3942">
        <w:rPr>
          <w:i/>
          <w:iCs/>
        </w:rPr>
        <w:t xml:space="preserve">Attorney General Garland Vacates </w:t>
      </w:r>
      <w:r w:rsidRPr="001E6745">
        <w:t>Matter of A-B-</w:t>
      </w:r>
      <w:r w:rsidRPr="006D3942">
        <w:rPr>
          <w:i/>
          <w:iCs/>
        </w:rPr>
        <w:t xml:space="preserve"> and </w:t>
      </w:r>
      <w:r w:rsidRPr="001E6745">
        <w:t>Matter of L-E-A-</w:t>
      </w:r>
      <w:r w:rsidRPr="00A13608">
        <w:t>,</w:t>
      </w:r>
      <w:r w:rsidRPr="006D3942">
        <w:rPr>
          <w:i/>
          <w:iCs/>
        </w:rPr>
        <w:t xml:space="preserve"> </w:t>
      </w:r>
      <w:r w:rsidRPr="00DF0807">
        <w:rPr>
          <w:smallCaps/>
        </w:rPr>
        <w:t>C</w:t>
      </w:r>
      <w:r w:rsidR="002D5386" w:rsidRPr="00DF0807">
        <w:rPr>
          <w:smallCaps/>
        </w:rPr>
        <w:t>linic</w:t>
      </w:r>
      <w:r w:rsidRPr="006D3942">
        <w:t xml:space="preserve"> </w:t>
      </w:r>
      <w:r w:rsidR="00B053B5">
        <w:br/>
      </w:r>
      <w:r w:rsidRPr="006D3942">
        <w:t>(July 28, 2021), https://www.cliniclegal.org/resources/attorney-general-garland-vacates-matter-b-and-matter-l-e</w:t>
      </w:r>
      <w:r w:rsidR="00024FD4">
        <w:t xml:space="preserve"> [https://perma.cc/5V46-2Q9E]</w:t>
      </w:r>
      <w:r w:rsidRPr="006D3942">
        <w:t xml:space="preserve">; Cruz-Valdez, 28 </w:t>
      </w:r>
      <w:r w:rsidR="00E855D3" w:rsidRPr="00E855D3">
        <w:t xml:space="preserve">I. &amp; N. </w:t>
      </w:r>
      <w:r w:rsidRPr="006D3942">
        <w:t>Dec. 326</w:t>
      </w:r>
      <w:r w:rsidR="00D06F5F">
        <w:t>, 328</w:t>
      </w:r>
      <w:r w:rsidRPr="006D3942">
        <w:t xml:space="preserve"> (</w:t>
      </w:r>
      <w:r w:rsidR="00D96575" w:rsidRPr="00D96575">
        <w:t xml:space="preserve">Att’y Gen. </w:t>
      </w:r>
      <w:r w:rsidRPr="006D3942">
        <w:t xml:space="preserve">2021) (overruling </w:t>
      </w:r>
      <w:r w:rsidRPr="006D3942">
        <w:rPr>
          <w:i/>
          <w:iCs/>
        </w:rPr>
        <w:t>Castro-Tum</w:t>
      </w:r>
      <w:r w:rsidRPr="006D3942">
        <w:t>).</w:t>
      </w:r>
    </w:p>
  </w:footnote>
  <w:footnote w:id="81">
    <w:p w14:paraId="7C7FCD89" w14:textId="67751AAE" w:rsidR="006D3942" w:rsidRPr="006D3942" w:rsidRDefault="006D3942" w:rsidP="00695136">
      <w:pPr>
        <w:pStyle w:val="FootNote"/>
      </w:pPr>
      <w:r w:rsidRPr="006D3942">
        <w:tab/>
      </w:r>
      <w:r w:rsidRPr="006D3942">
        <w:rPr>
          <w:rStyle w:val="NoteRefInNote"/>
        </w:rPr>
        <w:footnoteRef/>
      </w:r>
      <w:r w:rsidRPr="006D3942">
        <w:t>. </w:t>
      </w:r>
      <w:r w:rsidR="00396052" w:rsidRPr="00564984">
        <w:rPr>
          <w:i/>
          <w:iCs/>
        </w:rPr>
        <w:t>A-B-</w:t>
      </w:r>
      <w:r w:rsidR="00396052">
        <w:t xml:space="preserve">, 27 I. &amp; N. Dec. at 319; </w:t>
      </w:r>
      <w:r w:rsidRPr="006D3942">
        <w:t xml:space="preserve">Menke, </w:t>
      </w:r>
      <w:r w:rsidRPr="006D3942">
        <w:rPr>
          <w:i/>
          <w:iCs/>
        </w:rPr>
        <w:t>supra</w:t>
      </w:r>
      <w:r w:rsidRPr="006D3942">
        <w:t xml:space="preserve"> note </w:t>
      </w:r>
      <w:r w:rsidR="00152D2B">
        <w:fldChar w:fldCharType="begin"/>
      </w:r>
      <w:r w:rsidR="00152D2B">
        <w:instrText xml:space="preserve"> NOTEREF _Ref177479673 \h </w:instrText>
      </w:r>
      <w:r w:rsidR="001E6745">
        <w:instrText xml:space="preserve"> \* MERGEFORMAT </w:instrText>
      </w:r>
      <w:r w:rsidR="00152D2B">
        <w:fldChar w:fldCharType="separate"/>
      </w:r>
      <w:r w:rsidR="00102CC5">
        <w:t>57</w:t>
      </w:r>
      <w:r w:rsidR="00152D2B">
        <w:fldChar w:fldCharType="end"/>
      </w:r>
      <w:r w:rsidRPr="006D3942">
        <w:t>, at 61</w:t>
      </w:r>
      <w:r w:rsidR="00396052">
        <w:t>4–1</w:t>
      </w:r>
      <w:r w:rsidRPr="006D3942">
        <w:t>5.</w:t>
      </w:r>
    </w:p>
  </w:footnote>
  <w:footnote w:id="82">
    <w:p w14:paraId="7E184268" w14:textId="515DE200" w:rsidR="006D3942" w:rsidRPr="006D3942" w:rsidRDefault="006D3942" w:rsidP="00695136">
      <w:pPr>
        <w:pStyle w:val="FootNote"/>
      </w:pPr>
      <w:r w:rsidRPr="006D3942">
        <w:rPr>
          <w:iCs/>
        </w:rPr>
        <w:tab/>
      </w:r>
      <w:r w:rsidRPr="006D3942">
        <w:rPr>
          <w:rStyle w:val="NoteRefInNote"/>
        </w:rPr>
        <w:footnoteRef/>
      </w:r>
      <w:r w:rsidRPr="006D3942">
        <w:rPr>
          <w:iCs/>
        </w:rPr>
        <w:t>. </w:t>
      </w:r>
      <w:r w:rsidR="001E4761" w:rsidRPr="00564984">
        <w:rPr>
          <w:i/>
        </w:rPr>
        <w:t>See, e.g.</w:t>
      </w:r>
      <w:r w:rsidR="001E4761">
        <w:rPr>
          <w:iCs/>
        </w:rPr>
        <w:t xml:space="preserve">, </w:t>
      </w:r>
      <w:r w:rsidRPr="00564984">
        <w:t xml:space="preserve">Matter </w:t>
      </w:r>
      <w:r w:rsidR="001E4761" w:rsidRPr="00564984">
        <w:t>o</w:t>
      </w:r>
      <w:r w:rsidRPr="00564984">
        <w:t>f A-B-/A-B- II</w:t>
      </w:r>
      <w:r w:rsidRPr="006D3942">
        <w:rPr>
          <w:i/>
          <w:iCs/>
        </w:rPr>
        <w:t xml:space="preserve"> </w:t>
      </w:r>
      <w:r w:rsidR="001E4761">
        <w:rPr>
          <w:i/>
          <w:iCs/>
        </w:rPr>
        <w:t>a</w:t>
      </w:r>
      <w:r w:rsidRPr="006D3942">
        <w:rPr>
          <w:i/>
          <w:iCs/>
        </w:rPr>
        <w:t xml:space="preserve">nd </w:t>
      </w:r>
      <w:r w:rsidRPr="00564984">
        <w:t>L-E-A II</w:t>
      </w:r>
      <w:r w:rsidRPr="006D3942">
        <w:rPr>
          <w:i/>
          <w:iCs/>
        </w:rPr>
        <w:t xml:space="preserve"> Are Vacated. What </w:t>
      </w:r>
      <w:proofErr w:type="gramStart"/>
      <w:r w:rsidRPr="006D3942">
        <w:rPr>
          <w:i/>
          <w:iCs/>
        </w:rPr>
        <w:t>Next?</w:t>
      </w:r>
      <w:r w:rsidRPr="00A13608">
        <w:t>,</w:t>
      </w:r>
      <w:proofErr w:type="gramEnd"/>
      <w:r w:rsidRPr="006D3942">
        <w:t xml:space="preserve"> </w:t>
      </w:r>
      <w:r w:rsidRPr="006D3942">
        <w:rPr>
          <w:smallCaps/>
        </w:rPr>
        <w:t>Nat</w:t>
      </w:r>
      <w:r>
        <w:rPr>
          <w:smallCaps/>
        </w:rPr>
        <w:t>’</w:t>
      </w:r>
      <w:r w:rsidRPr="006D3942">
        <w:rPr>
          <w:smallCaps/>
        </w:rPr>
        <w:t>l Immigrant Just. Ctr</w:t>
      </w:r>
      <w:r w:rsidR="001E4761">
        <w:rPr>
          <w:smallCaps/>
        </w:rPr>
        <w:t>.</w:t>
      </w:r>
      <w:r w:rsidRPr="006D3942">
        <w:t xml:space="preserve"> (June 17, 2021, 12:00 PM), </w:t>
      </w:r>
      <w:r w:rsidR="00733A46" w:rsidRPr="00C3649B">
        <w:t>https://immigrantjustice.org/for-attorneys/legal-resources/copy/matter-b-b-ii-and-l-e-ii-are-vacated-what-next</w:t>
      </w:r>
      <w:r w:rsidR="00825361">
        <w:t xml:space="preserve"> </w:t>
      </w:r>
      <w:r w:rsidR="00733A46" w:rsidRPr="00C3649B">
        <w:t>[https://perma.cc</w:t>
      </w:r>
      <w:r w:rsidR="006D71B8">
        <w:br/>
      </w:r>
      <w:r w:rsidR="00733A46" w:rsidRPr="00C3649B">
        <w:t>/Y6TH-PC2B</w:t>
      </w:r>
      <w:r w:rsidR="00733A46" w:rsidRPr="00F258E0">
        <w:rPr>
          <w:color w:val="000000" w:themeColor="text1"/>
        </w:rPr>
        <w:t>]</w:t>
      </w:r>
      <w:r w:rsidR="001E4761" w:rsidRPr="00F258E0">
        <w:rPr>
          <w:rStyle w:val="Hyperlink"/>
          <w:color w:val="000000" w:themeColor="text1"/>
          <w:u w:val="none"/>
        </w:rPr>
        <w:t xml:space="preserve"> (recognizing the “shift in asylum law” and impact on “individuals fleeing gender and family-based persecution” once </w:t>
      </w:r>
      <w:r w:rsidR="001E4761" w:rsidRPr="00F258E0">
        <w:rPr>
          <w:rStyle w:val="Hyperlink"/>
          <w:i/>
          <w:iCs/>
          <w:color w:val="000000" w:themeColor="text1"/>
          <w:u w:val="none"/>
        </w:rPr>
        <w:t>Matter of A-B-</w:t>
      </w:r>
      <w:r w:rsidR="001E4761" w:rsidRPr="00F258E0">
        <w:rPr>
          <w:rStyle w:val="Hyperlink"/>
          <w:color w:val="000000" w:themeColor="text1"/>
          <w:u w:val="none"/>
        </w:rPr>
        <w:t xml:space="preserve"> was finally overturned)</w:t>
      </w:r>
      <w:r w:rsidRPr="00F258E0">
        <w:rPr>
          <w:color w:val="000000" w:themeColor="text1"/>
        </w:rPr>
        <w:t>.</w:t>
      </w:r>
    </w:p>
  </w:footnote>
  <w:footnote w:id="83">
    <w:p w14:paraId="30346B6B" w14:textId="6F850675" w:rsidR="00825361" w:rsidRPr="00564984" w:rsidRDefault="00B053B5" w:rsidP="00695136">
      <w:pPr>
        <w:pStyle w:val="FootNote"/>
      </w:pPr>
      <w:r w:rsidRPr="001E6745">
        <w:tab/>
      </w:r>
      <w:r w:rsidR="00883107" w:rsidRPr="001E6745">
        <w:rPr>
          <w:rStyle w:val="NoteRefInNote"/>
        </w:rPr>
        <w:footnoteRef/>
      </w:r>
      <w:r w:rsidRPr="001E6745">
        <w:t>. </w:t>
      </w:r>
      <w:r w:rsidR="00883107" w:rsidRPr="00B053B5">
        <w:rPr>
          <w:i/>
          <w:iCs/>
        </w:rPr>
        <w:t>Castro-Tum</w:t>
      </w:r>
      <w:r w:rsidR="00883107" w:rsidRPr="00B053B5">
        <w:t>, 27 I. &amp; N. Dec. at 293.</w:t>
      </w:r>
    </w:p>
  </w:footnote>
  <w:footnote w:id="84">
    <w:p w14:paraId="575C4C31" w14:textId="5D55B49B" w:rsidR="006D3942" w:rsidRPr="006D3942" w:rsidRDefault="006D3942" w:rsidP="00695136">
      <w:pPr>
        <w:pStyle w:val="FootNote"/>
      </w:pPr>
      <w:r w:rsidRPr="006D3942">
        <w:tab/>
      </w:r>
      <w:r w:rsidRPr="006D3942">
        <w:rPr>
          <w:rStyle w:val="NoteRefInNote"/>
        </w:rPr>
        <w:footnoteRef/>
      </w:r>
      <w:r w:rsidRPr="006D3942">
        <w:t>. </w:t>
      </w:r>
      <w:r w:rsidR="006B43D4">
        <w:t>Memorandum from David L. Neal, Dir</w:t>
      </w:r>
      <w:r w:rsidR="00A7507A">
        <w:t>.</w:t>
      </w:r>
      <w:r w:rsidR="006B43D4">
        <w:t xml:space="preserve"> of </w:t>
      </w:r>
      <w:r w:rsidR="00825361">
        <w:t xml:space="preserve">the </w:t>
      </w:r>
      <w:r w:rsidR="006B43D4">
        <w:t xml:space="preserve">Exec. Off. for Immigr. Rev., on Administrative Closure 1 </w:t>
      </w:r>
      <w:r w:rsidRPr="006D3942">
        <w:t xml:space="preserve">(Nov. 22, 2021), </w:t>
      </w:r>
      <w:r w:rsidR="003D23F6" w:rsidRPr="001E6745">
        <w:t>https://www.justice.gov/eoir/book/file</w:t>
      </w:r>
      <w:r w:rsidR="003D23F6">
        <w:br/>
      </w:r>
      <w:r w:rsidRPr="006D3942">
        <w:t>/1450351/dl#:~:text=Administrative%20closure%20%E2%80%9Cis%20a%20docket,W%2DY%2DU%2D%2C%2027%20I%26N%20Dec</w:t>
      </w:r>
      <w:r w:rsidR="00024FD4">
        <w:t xml:space="preserve"> [https://perma.cc/M97M-JCZW]</w:t>
      </w:r>
      <w:r w:rsidRPr="006D3942">
        <w:t>.</w:t>
      </w:r>
    </w:p>
  </w:footnote>
  <w:footnote w:id="85">
    <w:p w14:paraId="60F2F723" w14:textId="1E8454BF"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w:t>
      </w:r>
      <w:r w:rsidR="00DA57D4" w:rsidRPr="00564984">
        <w:rPr>
          <w:rStyle w:val="normaltextrun"/>
          <w:rFonts w:eastAsiaTheme="majorEastAsia"/>
          <w:smallCaps/>
          <w:color w:val="000000"/>
          <w:shd w:val="clear" w:color="auto" w:fill="FFFFFF"/>
        </w:rPr>
        <w:t xml:space="preserve">Am. C.L. Union &amp; Am. Immigr. Council, Administrative Closure After </w:t>
      </w:r>
      <w:r w:rsidR="00DA57D4" w:rsidRPr="00564984">
        <w:rPr>
          <w:rStyle w:val="normaltextrun"/>
          <w:rFonts w:eastAsiaTheme="majorEastAsia"/>
          <w:i/>
          <w:iCs/>
          <w:smallCaps/>
          <w:color w:val="000000"/>
          <w:shd w:val="clear" w:color="auto" w:fill="FFFFFF"/>
        </w:rPr>
        <w:t>Matter of Cruz-Valdez</w:t>
      </w:r>
      <w:r w:rsidR="00DA57D4" w:rsidRPr="00564984">
        <w:rPr>
          <w:rStyle w:val="normaltextrun"/>
          <w:rFonts w:eastAsiaTheme="majorEastAsia"/>
          <w:smallCaps/>
          <w:color w:val="000000"/>
          <w:shd w:val="clear" w:color="auto" w:fill="FFFFFF"/>
        </w:rPr>
        <w:t xml:space="preserve"> Practice Advisory</w:t>
      </w:r>
      <w:r w:rsidR="00DA57D4" w:rsidRPr="006D3942">
        <w:rPr>
          <w:i/>
          <w:iCs/>
        </w:rPr>
        <w:t xml:space="preserve"> </w:t>
      </w:r>
      <w:r w:rsidRPr="006D3942">
        <w:t>2</w:t>
      </w:r>
      <w:r w:rsidR="00DA57D4">
        <w:t>–3</w:t>
      </w:r>
      <w:r w:rsidRPr="006D3942">
        <w:t>, 3 n.15 (2022), https://www.aclu.org/wp-content/uploads/legal-documents/2019.10.22_castro-tum_pa_w_zuniga_romero_update_-_final.pdf</w:t>
      </w:r>
      <w:r w:rsidR="00024FD4">
        <w:t xml:space="preserve"> [https://perma.cc/YU7X-A7H6]</w:t>
      </w:r>
      <w:r w:rsidRPr="006D3942">
        <w:t xml:space="preserve"> (giving an overview of administrative closure and listing examples of the types of applications before USCIS in which administrative closure of removal proceedings to obtain an adjudication can be beneficial).</w:t>
      </w:r>
    </w:p>
  </w:footnote>
  <w:footnote w:id="86">
    <w:p w14:paraId="68D99AF4" w14:textId="6995B052"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87">
    <w:p w14:paraId="34B625B0" w14:textId="54E04341" w:rsidR="006D3942" w:rsidRPr="006D3942" w:rsidRDefault="006D3942" w:rsidP="00695136">
      <w:pPr>
        <w:pStyle w:val="FootNote"/>
      </w:pPr>
      <w:r w:rsidRPr="006D3942">
        <w:tab/>
      </w:r>
      <w:r w:rsidRPr="006D3942">
        <w:rPr>
          <w:rStyle w:val="NoteRefInNote"/>
        </w:rPr>
        <w:footnoteRef/>
      </w:r>
      <w:r w:rsidRPr="006D3942">
        <w:t xml:space="preserve">. Buteyn, </w:t>
      </w:r>
      <w:r w:rsidRPr="006D3942">
        <w:rPr>
          <w:i/>
          <w:iCs/>
        </w:rPr>
        <w:t>supra</w:t>
      </w:r>
      <w:r w:rsidRPr="006D3942">
        <w:t xml:space="preserve"> note </w:t>
      </w:r>
      <w:r w:rsidR="00152D2B">
        <w:fldChar w:fldCharType="begin"/>
      </w:r>
      <w:r w:rsidR="00152D2B">
        <w:instrText xml:space="preserve"> NOTEREF _Ref177479220 \h </w:instrText>
      </w:r>
      <w:r w:rsidR="001E6745">
        <w:instrText xml:space="preserve"> \* MERGEFORMAT </w:instrText>
      </w:r>
      <w:r w:rsidR="00152D2B">
        <w:fldChar w:fldCharType="separate"/>
      </w:r>
      <w:r w:rsidR="00102CC5">
        <w:t>18</w:t>
      </w:r>
      <w:r w:rsidR="00152D2B">
        <w:fldChar w:fldCharType="end"/>
      </w:r>
      <w:r w:rsidRPr="006D3942">
        <w:t>, at 978</w:t>
      </w:r>
      <w:r w:rsidR="00191A8D">
        <w:t>–79</w:t>
      </w:r>
      <w:r w:rsidRPr="006D3942">
        <w:t xml:space="preserve">; </w:t>
      </w:r>
      <w:r w:rsidRPr="006D3942">
        <w:rPr>
          <w:i/>
          <w:iCs/>
        </w:rPr>
        <w:t>see</w:t>
      </w:r>
      <w:r w:rsidRPr="006D3942">
        <w:t xml:space="preserve"> </w:t>
      </w:r>
      <w:r w:rsidRPr="00DF0807">
        <w:rPr>
          <w:i/>
          <w:iCs/>
        </w:rPr>
        <w:t>also</w:t>
      </w:r>
      <w:r w:rsidRPr="006D3942">
        <w:t xml:space="preserve"> </w:t>
      </w:r>
      <w:r w:rsidRPr="006D3942">
        <w:rPr>
          <w:i/>
          <w:iCs/>
        </w:rPr>
        <w:t>The Life and Death of Administrative Closure</w:t>
      </w:r>
      <w:r w:rsidRPr="00A13608">
        <w:t>,</w:t>
      </w:r>
      <w:r w:rsidRPr="006D3942">
        <w:t xml:space="preserve"> </w:t>
      </w:r>
      <w:r w:rsidRPr="00564984">
        <w:rPr>
          <w:smallCaps/>
        </w:rPr>
        <w:t>TRAC Immigr</w:t>
      </w:r>
      <w:r w:rsidR="00DA57D4" w:rsidRPr="00564984">
        <w:rPr>
          <w:smallCaps/>
        </w:rPr>
        <w:t>.</w:t>
      </w:r>
      <w:r w:rsidRPr="006D3942">
        <w:t xml:space="preserve"> (Sept. 10, 2020), https://trac.syr.edu/immigration/reports/623/</w:t>
      </w:r>
      <w:r w:rsidR="00024FD4">
        <w:t xml:space="preserve"> [https://perma.cc</w:t>
      </w:r>
      <w:r w:rsidR="007813D5">
        <w:br/>
      </w:r>
      <w:r w:rsidR="00024FD4">
        <w:t>/86DW-RXZF]</w:t>
      </w:r>
      <w:r w:rsidRPr="006D3942">
        <w:t xml:space="preserve"> (comp</w:t>
      </w:r>
      <w:r w:rsidR="00191A8D">
        <w:t>aring</w:t>
      </w:r>
      <w:r w:rsidRPr="006D3942">
        <w:t xml:space="preserve"> the data on case completions </w:t>
      </w:r>
      <w:r w:rsidR="00191A8D">
        <w:t xml:space="preserve">between the Obama Administration and the </w:t>
      </w:r>
      <w:r w:rsidR="00081CDA">
        <w:t xml:space="preserve">first </w:t>
      </w:r>
      <w:r w:rsidR="00191A8D">
        <w:t xml:space="preserve">Trump Administration, </w:t>
      </w:r>
      <w:r w:rsidR="006D71B8">
        <w:t xml:space="preserve">the latter of </w:t>
      </w:r>
      <w:r w:rsidR="00191A8D">
        <w:t xml:space="preserve">which curtailed </w:t>
      </w:r>
      <w:r w:rsidRPr="006D3942">
        <w:t>administrative closure).</w:t>
      </w:r>
    </w:p>
  </w:footnote>
  <w:footnote w:id="88">
    <w:p w14:paraId="4176AE80" w14:textId="02734559"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00890AE9">
        <w:rPr>
          <w:i/>
          <w:iCs/>
        </w:rPr>
        <w:t>,</w:t>
      </w:r>
      <w:r w:rsidRPr="006D3942">
        <w:t xml:space="preserve"> </w:t>
      </w:r>
      <w:r w:rsidRPr="006D3942">
        <w:rPr>
          <w:i/>
          <w:iCs/>
        </w:rPr>
        <w:t>e.g.</w:t>
      </w:r>
      <w:r w:rsidRPr="00DF0807">
        <w:t>,</w:t>
      </w:r>
      <w:r w:rsidRPr="00890AE9">
        <w:t xml:space="preserve"> </w:t>
      </w:r>
      <w:r w:rsidR="00191A8D" w:rsidRPr="00D222E6">
        <w:rPr>
          <w:rStyle w:val="normaltextrun"/>
          <w:rFonts w:eastAsiaTheme="majorEastAsia"/>
          <w:smallCaps/>
          <w:color w:val="000000"/>
          <w:shd w:val="clear" w:color="auto" w:fill="FFFFFF"/>
        </w:rPr>
        <w:t>Am. C.L. Union &amp; Am. Immigr. Council</w:t>
      </w:r>
      <w:r w:rsidR="00191A8D">
        <w:rPr>
          <w:rStyle w:val="normaltextrun"/>
          <w:rFonts w:eastAsiaTheme="majorEastAsia"/>
          <w:smallCaps/>
          <w:color w:val="000000"/>
          <w:shd w:val="clear" w:color="auto" w:fill="FFFFFF"/>
        </w:rPr>
        <w:t>,</w:t>
      </w:r>
      <w:r w:rsidR="00191A8D" w:rsidRPr="006D3942">
        <w:rPr>
          <w:i/>
          <w:iCs/>
        </w:rPr>
        <w:t xml:space="preserve"> </w:t>
      </w:r>
      <w:r w:rsidR="00191A8D">
        <w:rPr>
          <w:i/>
          <w:iCs/>
        </w:rPr>
        <w:t xml:space="preserve">supra </w:t>
      </w:r>
      <w:r w:rsidR="00191A8D" w:rsidRPr="00564984">
        <w:t xml:space="preserve">note </w:t>
      </w:r>
      <w:r w:rsidR="00191A8D">
        <w:fldChar w:fldCharType="begin"/>
      </w:r>
      <w:r w:rsidR="00191A8D">
        <w:instrText xml:space="preserve"> NOTEREF _Ref181353337 \h </w:instrText>
      </w:r>
      <w:r w:rsidR="001E6745">
        <w:instrText xml:space="preserve"> \* MERGEFORMAT </w:instrText>
      </w:r>
      <w:r w:rsidR="00191A8D">
        <w:fldChar w:fldCharType="separate"/>
      </w:r>
      <w:r w:rsidR="00102CC5">
        <w:t>85</w:t>
      </w:r>
      <w:r w:rsidR="00191A8D">
        <w:fldChar w:fldCharType="end"/>
      </w:r>
      <w:r w:rsidR="00191A8D" w:rsidRPr="00564984">
        <w:t>, at</w:t>
      </w:r>
      <w:r w:rsidR="00191A8D">
        <w:rPr>
          <w:i/>
          <w:iCs/>
        </w:rPr>
        <w:t xml:space="preserve"> </w:t>
      </w:r>
      <w:r w:rsidRPr="006D3942">
        <w:t>3</w:t>
      </w:r>
      <w:r w:rsidR="00191A8D">
        <w:t>–</w:t>
      </w:r>
      <w:r w:rsidRPr="006D3942">
        <w:t xml:space="preserve">6 (analyzing the circuits </w:t>
      </w:r>
      <w:r w:rsidR="00890AE9">
        <w:t>that</w:t>
      </w:r>
      <w:r w:rsidRPr="006D3942">
        <w:t xml:space="preserve"> diverged in the aftermath of </w:t>
      </w:r>
      <w:r w:rsidRPr="006D3942">
        <w:rPr>
          <w:i/>
          <w:iCs/>
        </w:rPr>
        <w:t>Matter of Castro-Tum</w:t>
      </w:r>
      <w:r w:rsidRPr="006D3942">
        <w:t>).</w:t>
      </w:r>
    </w:p>
  </w:footnote>
  <w:footnote w:id="89">
    <w:p w14:paraId="0E045C1C" w14:textId="390DCA9C" w:rsidR="006D3942" w:rsidRPr="006D3942" w:rsidRDefault="006D3942" w:rsidP="00695136">
      <w:pPr>
        <w:pStyle w:val="FootNote"/>
      </w:pPr>
      <w:r w:rsidRPr="006D3942">
        <w:tab/>
      </w:r>
      <w:r w:rsidRPr="006D3942">
        <w:rPr>
          <w:rStyle w:val="NoteRefInNote"/>
        </w:rPr>
        <w:footnoteRef/>
      </w:r>
      <w:r w:rsidRPr="006D3942">
        <w:t>. Jaco v. Garland, 24 F.4th 395</w:t>
      </w:r>
      <w:r w:rsidR="00191A8D">
        <w:t xml:space="preserve">, 405 </w:t>
      </w:r>
      <w:r w:rsidRPr="006D3942">
        <w:t xml:space="preserve">(5th Cir. 2021); </w:t>
      </w:r>
      <w:r w:rsidR="00191A8D" w:rsidRPr="00564984">
        <w:rPr>
          <w:i/>
          <w:iCs/>
        </w:rPr>
        <w:t>see also</w:t>
      </w:r>
      <w:r w:rsidR="00191A8D">
        <w:t xml:space="preserve"> </w:t>
      </w:r>
      <w:r w:rsidRPr="006D3942">
        <w:t xml:space="preserve">Sabrineh Ardalan &amp; Deborah Anker, </w:t>
      </w:r>
      <w:r w:rsidRPr="006D3942">
        <w:rPr>
          <w:i/>
          <w:iCs/>
        </w:rPr>
        <w:t>Re-setting Gender-Based Asylum Law</w:t>
      </w:r>
      <w:r w:rsidRPr="006D3942">
        <w:t xml:space="preserve">, </w:t>
      </w:r>
      <w:r w:rsidR="008F37E9" w:rsidRPr="006D3942">
        <w:rPr>
          <w:smallCaps/>
        </w:rPr>
        <w:t>Harv</w:t>
      </w:r>
      <w:r w:rsidR="008F37E9">
        <w:rPr>
          <w:smallCaps/>
        </w:rPr>
        <w:t>.</w:t>
      </w:r>
      <w:r w:rsidR="008F37E9" w:rsidRPr="006D3942">
        <w:rPr>
          <w:smallCaps/>
        </w:rPr>
        <w:t xml:space="preserve"> </w:t>
      </w:r>
      <w:r w:rsidRPr="006D3942">
        <w:rPr>
          <w:smallCaps/>
        </w:rPr>
        <w:t>L. Rev</w:t>
      </w:r>
      <w:r w:rsidRPr="006D3942">
        <w:t>.</w:t>
      </w:r>
      <w:r w:rsidR="00191A8D">
        <w:t>:</w:t>
      </w:r>
      <w:r w:rsidRPr="006D3942">
        <w:t xml:space="preserve"> </w:t>
      </w:r>
      <w:r w:rsidRPr="006D3942">
        <w:rPr>
          <w:smallCaps/>
        </w:rPr>
        <w:t>Blog</w:t>
      </w:r>
      <w:r w:rsidRPr="006D3942">
        <w:t xml:space="preserve"> (Dec. 30, 2021), https://harvardlawreview.org/blog/2021/12/re-setting-gender-based-asylum-law/</w:t>
      </w:r>
      <w:r w:rsidR="00024FD4">
        <w:t xml:space="preserve"> [https://perma.cc</w:t>
      </w:r>
      <w:r w:rsidR="00307EEC">
        <w:br/>
      </w:r>
      <w:r w:rsidR="00024FD4">
        <w:t>/TPU6-N9GT]</w:t>
      </w:r>
      <w:r w:rsidR="00191A8D">
        <w:t xml:space="preserve"> (discussing </w:t>
      </w:r>
      <w:r w:rsidR="00307EEC">
        <w:t xml:space="preserve">the </w:t>
      </w:r>
      <w:r w:rsidR="0099772F">
        <w:t>ongoing legal confusion around</w:t>
      </w:r>
      <w:r w:rsidR="00191A8D">
        <w:t xml:space="preserve"> gender-based asylum protections)</w:t>
      </w:r>
      <w:r w:rsidRPr="006D3942">
        <w:t>.</w:t>
      </w:r>
    </w:p>
  </w:footnote>
  <w:footnote w:id="90">
    <w:p w14:paraId="584E45CF" w14:textId="50A8DD0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001170BC">
        <w:rPr>
          <w:i/>
          <w:iCs/>
        </w:rPr>
        <w:t>, e.g.</w:t>
      </w:r>
      <w:r w:rsidR="001170BC" w:rsidRPr="00564984">
        <w:t>,</w:t>
      </w:r>
      <w:r w:rsidRPr="001170BC">
        <w:t xml:space="preserve"> </w:t>
      </w:r>
      <w:r w:rsidR="008F37E9">
        <w:rPr>
          <w:smallCaps/>
        </w:rPr>
        <w:t>Am. Immigr. Laws. Ass</w:t>
      </w:r>
      <w:r w:rsidR="00307EEC">
        <w:rPr>
          <w:smallCaps/>
        </w:rPr>
        <w:t>’n</w:t>
      </w:r>
      <w:r w:rsidRPr="006D3942">
        <w:t>,</w:t>
      </w:r>
      <w:r w:rsidRPr="006D3942">
        <w:rPr>
          <w:smallCaps/>
        </w:rPr>
        <w:t xml:space="preserve"> </w:t>
      </w:r>
      <w:r w:rsidRPr="006D3942">
        <w:rPr>
          <w:i/>
          <w:iCs/>
        </w:rPr>
        <w:t>supra</w:t>
      </w:r>
      <w:r w:rsidRPr="006D3942">
        <w:t xml:space="preserve"> note </w:t>
      </w:r>
      <w:r w:rsidR="00152D2B">
        <w:fldChar w:fldCharType="begin"/>
      </w:r>
      <w:r w:rsidR="00152D2B">
        <w:instrText xml:space="preserve"> NOTEREF _Ref177479657 \h </w:instrText>
      </w:r>
      <w:r w:rsidR="001E6745">
        <w:instrText xml:space="preserve"> \* MERGEFORMAT </w:instrText>
      </w:r>
      <w:r w:rsidR="00152D2B">
        <w:fldChar w:fldCharType="separate"/>
      </w:r>
      <w:r w:rsidR="00102CC5">
        <w:t>68</w:t>
      </w:r>
      <w:r w:rsidR="00152D2B">
        <w:fldChar w:fldCharType="end"/>
      </w:r>
      <w:r w:rsidR="001170BC">
        <w:t>, at 1</w:t>
      </w:r>
      <w:r w:rsidRPr="006D3942">
        <w:t xml:space="preserve"> (</w:t>
      </w:r>
      <w:r w:rsidR="001170BC">
        <w:t xml:space="preserve">calling for legislation that would create an independent, Article I </w:t>
      </w:r>
      <w:r w:rsidR="00A57FC8">
        <w:t>i</w:t>
      </w:r>
      <w:r w:rsidR="001170BC">
        <w:t xml:space="preserve">mmigration </w:t>
      </w:r>
      <w:r w:rsidR="00A57FC8">
        <w:t>c</w:t>
      </w:r>
      <w:r w:rsidR="001170BC">
        <w:t>ourt).</w:t>
      </w:r>
    </w:p>
  </w:footnote>
  <w:footnote w:id="91">
    <w:p w14:paraId="18B81799" w14:textId="4DF76C56" w:rsidR="006D3942" w:rsidRPr="006D3942" w:rsidRDefault="006D3942" w:rsidP="00695136">
      <w:pPr>
        <w:pStyle w:val="FootNote"/>
      </w:pPr>
      <w:r w:rsidRPr="006D3942">
        <w:tab/>
      </w:r>
      <w:r w:rsidRPr="006D3942">
        <w:rPr>
          <w:rStyle w:val="NoteRefInNote"/>
        </w:rPr>
        <w:footnoteRef/>
      </w:r>
      <w:r w:rsidRPr="006D3942">
        <w:t>. </w:t>
      </w:r>
      <w:r w:rsidR="001170BC" w:rsidRPr="00564984">
        <w:rPr>
          <w:i/>
          <w:iCs/>
        </w:rPr>
        <w:t xml:space="preserve">See </w:t>
      </w:r>
      <w:r w:rsidRPr="006D3942">
        <w:t xml:space="preserve">Laura K. Donohue &amp; Jeremy McCabe, </w:t>
      </w:r>
      <w:r w:rsidRPr="006D3942">
        <w:rPr>
          <w:i/>
          <w:iCs/>
        </w:rPr>
        <w:t>Federal Courts: Article I, II, III, and IV Adjudication</w:t>
      </w:r>
      <w:r w:rsidRPr="006D3942">
        <w:t xml:space="preserve">, 71 </w:t>
      </w:r>
      <w:r w:rsidRPr="006D3942">
        <w:rPr>
          <w:smallCaps/>
        </w:rPr>
        <w:t>Cath. U. L. Rev.</w:t>
      </w:r>
      <w:r w:rsidRPr="006D3942">
        <w:t xml:space="preserve"> 543, 571–9</w:t>
      </w:r>
      <w:r w:rsidR="001170BC">
        <w:t>2</w:t>
      </w:r>
      <w:r w:rsidR="00B41359">
        <w:t xml:space="preserve"> </w:t>
      </w:r>
      <w:r w:rsidRPr="006D3942">
        <w:t>(2022)</w:t>
      </w:r>
      <w:r w:rsidR="001170BC">
        <w:t xml:space="preserve"> (discussing the current Article I courts)</w:t>
      </w:r>
      <w:r w:rsidRPr="006D3942">
        <w:t>.</w:t>
      </w:r>
      <w:r w:rsidR="001170BC">
        <w:t xml:space="preserve"> </w:t>
      </w:r>
    </w:p>
  </w:footnote>
  <w:footnote w:id="92">
    <w:p w14:paraId="3EB8B71A" w14:textId="0561D03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Joan V. Churchill, </w:t>
      </w:r>
      <w:r w:rsidRPr="006D3942">
        <w:rPr>
          <w:i/>
          <w:iCs/>
        </w:rPr>
        <w:t>Compelling Reasons for an Article I Immigration Court</w:t>
      </w:r>
      <w:r w:rsidRPr="006D3942">
        <w:t xml:space="preserve">, </w:t>
      </w:r>
      <w:r w:rsidRPr="006D3942">
        <w:rPr>
          <w:smallCaps/>
        </w:rPr>
        <w:t>Judges</w:t>
      </w:r>
      <w:r>
        <w:rPr>
          <w:smallCaps/>
        </w:rPr>
        <w:t>’</w:t>
      </w:r>
      <w:r w:rsidRPr="006D3942">
        <w:rPr>
          <w:smallCaps/>
        </w:rPr>
        <w:t xml:space="preserve"> J.</w:t>
      </w:r>
      <w:r w:rsidRPr="006D3942">
        <w:t xml:space="preserve">, Winter 2022, at </w:t>
      </w:r>
      <w:r w:rsidR="001170BC">
        <w:t xml:space="preserve">6, </w:t>
      </w:r>
      <w:r w:rsidRPr="006D3942">
        <w:t>6–7 (summarizing historical proposals).</w:t>
      </w:r>
    </w:p>
  </w:footnote>
  <w:footnote w:id="93">
    <w:p w14:paraId="103FFB82" w14:textId="0948786A"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94">
    <w:p w14:paraId="01A0766F" w14:textId="44B3D959" w:rsidR="006D3942" w:rsidRPr="006D3942" w:rsidRDefault="006D3942" w:rsidP="00695136">
      <w:pPr>
        <w:pStyle w:val="FootNote"/>
      </w:pPr>
      <w:r w:rsidRPr="006D3942">
        <w:tab/>
      </w:r>
      <w:r w:rsidRPr="006D3942">
        <w:rPr>
          <w:rStyle w:val="NoteRefInNote"/>
        </w:rPr>
        <w:footnoteRef/>
      </w:r>
      <w:r w:rsidRPr="006D3942">
        <w:t>. </w:t>
      </w:r>
      <w:r w:rsidR="001170BC" w:rsidRPr="00564984">
        <w:rPr>
          <w:i/>
          <w:iCs/>
        </w:rPr>
        <w:t>Id.</w:t>
      </w:r>
      <w:r w:rsidR="001170BC">
        <w:t xml:space="preserve"> at 6</w:t>
      </w:r>
      <w:r w:rsidR="003116ED">
        <w:t>.</w:t>
      </w:r>
      <w:r w:rsidR="00CA4B0D">
        <w:t xml:space="preserve"> </w:t>
      </w:r>
      <w:r w:rsidR="003116ED">
        <w:rPr>
          <w:i/>
          <w:iCs/>
        </w:rPr>
        <w:t>S</w:t>
      </w:r>
      <w:r w:rsidR="00CA4B0D" w:rsidRPr="001550FE">
        <w:rPr>
          <w:i/>
          <w:iCs/>
        </w:rPr>
        <w:t>ee</w:t>
      </w:r>
      <w:r w:rsidR="005060AA">
        <w:rPr>
          <w:i/>
          <w:iCs/>
        </w:rPr>
        <w:t xml:space="preserve"> generally</w:t>
      </w:r>
      <w:r w:rsidRPr="006D3942">
        <w:rPr>
          <w:i/>
          <w:iCs/>
        </w:rPr>
        <w:t xml:space="preserve"> </w:t>
      </w:r>
      <w:r w:rsidRPr="006D3942">
        <w:t xml:space="preserve">Peter J. Levinson, </w:t>
      </w:r>
      <w:r w:rsidRPr="006D3942">
        <w:rPr>
          <w:i/>
          <w:iCs/>
        </w:rPr>
        <w:t>A Specialized Court for Immigration Hearings and Appeals</w:t>
      </w:r>
      <w:r w:rsidRPr="006D3942">
        <w:t xml:space="preserve">, 56 </w:t>
      </w:r>
      <w:r w:rsidRPr="006D3942">
        <w:rPr>
          <w:smallCaps/>
        </w:rPr>
        <w:t xml:space="preserve">Notre Dame </w:t>
      </w:r>
      <w:r w:rsidRPr="001170BC">
        <w:rPr>
          <w:smallCaps/>
        </w:rPr>
        <w:t>L</w:t>
      </w:r>
      <w:r w:rsidR="001170BC" w:rsidRPr="00564984">
        <w:rPr>
          <w:smallCaps/>
        </w:rPr>
        <w:t>aw.</w:t>
      </w:r>
      <w:r w:rsidRPr="006D3942">
        <w:t xml:space="preserve"> 644 (1981)</w:t>
      </w:r>
      <w:r w:rsidR="005060AA">
        <w:t xml:space="preserve"> (</w:t>
      </w:r>
      <w:r w:rsidR="00332888">
        <w:t>p</w:t>
      </w:r>
      <w:r w:rsidR="00F2294A">
        <w:t xml:space="preserve">roviding a </w:t>
      </w:r>
      <w:r w:rsidR="00103A69">
        <w:t xml:space="preserve">summary of and </w:t>
      </w:r>
      <w:r w:rsidR="00F2294A">
        <w:t>expansion</w:t>
      </w:r>
      <w:r w:rsidR="00103A69">
        <w:t xml:space="preserve"> </w:t>
      </w:r>
      <w:r w:rsidR="00F2294A">
        <w:t>on</w:t>
      </w:r>
      <w:r w:rsidR="00103A69">
        <w:t xml:space="preserve"> Levi</w:t>
      </w:r>
      <w:r w:rsidR="001170BC">
        <w:t>n</w:t>
      </w:r>
      <w:r w:rsidR="00103A69">
        <w:t>son’s unpublished memorandum)</w:t>
      </w:r>
      <w:r w:rsidRPr="006D3942">
        <w:t>.</w:t>
      </w:r>
      <w:r w:rsidR="00B41359">
        <w:t xml:space="preserve"> </w:t>
      </w:r>
    </w:p>
  </w:footnote>
  <w:footnote w:id="95">
    <w:p w14:paraId="15FC8320" w14:textId="1186ED13" w:rsidR="006D3942" w:rsidRPr="006D3942" w:rsidRDefault="006D3942" w:rsidP="00695136">
      <w:pPr>
        <w:pStyle w:val="FootNote"/>
      </w:pPr>
      <w:r w:rsidRPr="006D3942">
        <w:tab/>
      </w:r>
      <w:r w:rsidRPr="006D3942">
        <w:rPr>
          <w:rStyle w:val="NoteRefInNote"/>
        </w:rPr>
        <w:footnoteRef/>
      </w:r>
      <w:r w:rsidRPr="006D3942">
        <w:t xml:space="preserve">. Unfortunately, the text of the original NAIJ proposal appears to have been lost. Churchill, </w:t>
      </w:r>
      <w:r w:rsidRPr="006D3942">
        <w:rPr>
          <w:i/>
          <w:iCs/>
        </w:rPr>
        <w:t>supra</w:t>
      </w:r>
      <w:r w:rsidRPr="006D3942">
        <w:t xml:space="preserve"> note</w:t>
      </w:r>
      <w:r w:rsidR="003116ED">
        <w:t xml:space="preserve"> 9</w:t>
      </w:r>
      <w:r w:rsidR="00541749">
        <w:t>2</w:t>
      </w:r>
      <w:r w:rsidRPr="006D3942">
        <w:t xml:space="preserve">, at 6 </w:t>
      </w:r>
      <w:r w:rsidR="001170BC">
        <w:t xml:space="preserve">&amp; </w:t>
      </w:r>
      <w:r w:rsidRPr="006D3942">
        <w:t>n.</w:t>
      </w:r>
      <w:r w:rsidR="001170BC">
        <w:t>3</w:t>
      </w:r>
      <w:r w:rsidRPr="006D3942">
        <w:t>.</w:t>
      </w:r>
      <w:r w:rsidR="001170BC">
        <w:t xml:space="preserve"> </w:t>
      </w:r>
    </w:p>
  </w:footnote>
  <w:footnote w:id="96">
    <w:p w14:paraId="7782E894" w14:textId="00C61250" w:rsidR="006D3942" w:rsidRPr="006D3942" w:rsidRDefault="006D3942" w:rsidP="00695136">
      <w:pPr>
        <w:pStyle w:val="FootNote"/>
      </w:pPr>
      <w:r w:rsidRPr="006D3942">
        <w:tab/>
      </w:r>
      <w:r w:rsidRPr="006D3942">
        <w:rPr>
          <w:rStyle w:val="NoteRefInNote"/>
        </w:rPr>
        <w:footnoteRef/>
      </w:r>
      <w:r w:rsidRPr="006D3942">
        <w:t xml:space="preserve">. Roberts, </w:t>
      </w:r>
      <w:r w:rsidRPr="006D3942">
        <w:rPr>
          <w:i/>
          <w:iCs/>
        </w:rPr>
        <w:t>supra</w:t>
      </w:r>
      <w:r w:rsidRPr="006D3942">
        <w:t xml:space="preserve"> note </w:t>
      </w:r>
      <w:r w:rsidR="00152D2B">
        <w:fldChar w:fldCharType="begin"/>
      </w:r>
      <w:r w:rsidR="00152D2B">
        <w:instrText xml:space="preserve"> NOTEREF _Ref177479718 \h </w:instrText>
      </w:r>
      <w:r w:rsidR="001E6745">
        <w:instrText xml:space="preserve"> \* MERGEFORMAT </w:instrText>
      </w:r>
      <w:r w:rsidR="00152D2B">
        <w:fldChar w:fldCharType="separate"/>
      </w:r>
      <w:r w:rsidR="00102CC5">
        <w:t>15</w:t>
      </w:r>
      <w:r w:rsidR="00152D2B">
        <w:fldChar w:fldCharType="end"/>
      </w:r>
      <w:r w:rsidRPr="006D3942">
        <w:t xml:space="preserve">, at 19 </w:t>
      </w:r>
      <w:r w:rsidR="001170BC">
        <w:t xml:space="preserve">&amp; </w:t>
      </w:r>
      <w:r w:rsidRPr="006D3942">
        <w:t>n.63.</w:t>
      </w:r>
    </w:p>
  </w:footnote>
  <w:footnote w:id="97">
    <w:p w14:paraId="40D3DA8B" w14:textId="0D196489"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001170BC">
        <w:rPr>
          <w:i/>
          <w:iCs/>
        </w:rPr>
        <w:t xml:space="preserve"> generally</w:t>
      </w:r>
      <w:r w:rsidRPr="006D3942">
        <w:rPr>
          <w:i/>
          <w:iCs/>
        </w:rPr>
        <w:t>, e.g.</w:t>
      </w:r>
      <w:r w:rsidRPr="00DF0807">
        <w:t>,</w:t>
      </w:r>
      <w:r w:rsidRPr="006D3942">
        <w:rPr>
          <w:i/>
          <w:iCs/>
        </w:rPr>
        <w:t xml:space="preserve"> </w:t>
      </w:r>
      <w:r w:rsidRPr="006D3942">
        <w:t xml:space="preserve">Robert E. Juceam &amp; Stephen Jacobs, </w:t>
      </w:r>
      <w:r w:rsidRPr="006D3942">
        <w:rPr>
          <w:i/>
          <w:iCs/>
        </w:rPr>
        <w:t>Constitutional and Policy Considerations of an Article I Immigration Cour</w:t>
      </w:r>
      <w:r w:rsidRPr="006D3942">
        <w:t xml:space="preserve">t, 18 </w:t>
      </w:r>
      <w:r w:rsidRPr="006D3942">
        <w:rPr>
          <w:smallCaps/>
        </w:rPr>
        <w:t>San Diego L. Rev</w:t>
      </w:r>
      <w:r w:rsidRPr="006D3942">
        <w:t xml:space="preserve">. 29 (1980) (interrogating the merits of </w:t>
      </w:r>
      <w:r w:rsidR="008F37E9">
        <w:t xml:space="preserve">Roberts’s </w:t>
      </w:r>
      <w:r w:rsidRPr="006D3942">
        <w:t>proposal).</w:t>
      </w:r>
    </w:p>
  </w:footnote>
  <w:footnote w:id="98">
    <w:p w14:paraId="6B130DAB" w14:textId="61E5135B" w:rsidR="006D3942" w:rsidRPr="006D3942" w:rsidRDefault="006D3942" w:rsidP="00695136">
      <w:pPr>
        <w:pStyle w:val="FootNote"/>
      </w:pPr>
      <w:r w:rsidRPr="006D3942">
        <w:tab/>
      </w:r>
      <w:r w:rsidRPr="006D3942">
        <w:rPr>
          <w:rStyle w:val="NoteRefInNote"/>
        </w:rPr>
        <w:footnoteRef/>
      </w:r>
      <w:r w:rsidRPr="006D3942">
        <w:t xml:space="preserve">. Roberts, </w:t>
      </w:r>
      <w:r w:rsidRPr="006D3942">
        <w:rPr>
          <w:i/>
          <w:iCs/>
        </w:rPr>
        <w:t>supra</w:t>
      </w:r>
      <w:r w:rsidRPr="006D3942">
        <w:t xml:space="preserve"> note </w:t>
      </w:r>
      <w:r w:rsidR="00152D2B">
        <w:fldChar w:fldCharType="begin"/>
      </w:r>
      <w:r w:rsidR="00152D2B">
        <w:instrText xml:space="preserve"> NOTEREF _Ref177479718 \h </w:instrText>
      </w:r>
      <w:r w:rsidR="001E6745">
        <w:instrText xml:space="preserve"> \* MERGEFORMAT </w:instrText>
      </w:r>
      <w:r w:rsidR="00152D2B">
        <w:fldChar w:fldCharType="separate"/>
      </w:r>
      <w:r w:rsidR="00102CC5">
        <w:t>15</w:t>
      </w:r>
      <w:r w:rsidR="00152D2B">
        <w:fldChar w:fldCharType="end"/>
      </w:r>
      <w:r w:rsidRPr="006D3942">
        <w:t>, at 16.</w:t>
      </w:r>
    </w:p>
  </w:footnote>
  <w:footnote w:id="99">
    <w:p w14:paraId="094758B7" w14:textId="5C64E1EB"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w:t>
      </w:r>
      <w:r w:rsidR="001170BC">
        <w:t xml:space="preserve">app. </w:t>
      </w:r>
      <w:r w:rsidRPr="006D3942">
        <w:t>at 21.</w:t>
      </w:r>
    </w:p>
  </w:footnote>
  <w:footnote w:id="100">
    <w:p w14:paraId="087AD947" w14:textId="5397C275"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01">
    <w:p w14:paraId="6BEE297E" w14:textId="547E95A2" w:rsidR="006D3942" w:rsidRPr="006D3942" w:rsidRDefault="006D3942" w:rsidP="00695136">
      <w:pPr>
        <w:pStyle w:val="FootNote"/>
      </w:pPr>
      <w:r w:rsidRPr="006D3942">
        <w:tab/>
      </w:r>
      <w:r w:rsidRPr="006D3942">
        <w:rPr>
          <w:rStyle w:val="NoteRefInNote"/>
        </w:rPr>
        <w:footnoteRef/>
      </w:r>
      <w:r w:rsidRPr="006D3942">
        <w:t xml:space="preserve">. Juceam &amp; Jacobs, </w:t>
      </w:r>
      <w:r w:rsidRPr="006D3942">
        <w:rPr>
          <w:i/>
          <w:iCs/>
        </w:rPr>
        <w:t>supra</w:t>
      </w:r>
      <w:r w:rsidRPr="006D3942">
        <w:t xml:space="preserve"> note</w:t>
      </w:r>
      <w:r w:rsidR="003C4CFD">
        <w:t xml:space="preserve"> 9</w:t>
      </w:r>
      <w:r w:rsidR="00541749">
        <w:t>7</w:t>
      </w:r>
      <w:r w:rsidRPr="006D3942">
        <w:t>, at 44.</w:t>
      </w:r>
    </w:p>
  </w:footnote>
  <w:footnote w:id="102">
    <w:p w14:paraId="5AD1F22B" w14:textId="0E693A14" w:rsidR="006D3942" w:rsidRPr="006D3942" w:rsidRDefault="006D3942" w:rsidP="00695136">
      <w:pPr>
        <w:pStyle w:val="FootNote"/>
      </w:pPr>
      <w:r w:rsidRPr="006D3942">
        <w:tab/>
      </w:r>
      <w:r w:rsidRPr="006D3942">
        <w:rPr>
          <w:rStyle w:val="NoteRefInNote"/>
        </w:rPr>
        <w:footnoteRef/>
      </w:r>
      <w:r w:rsidRPr="006D3942">
        <w:t xml:space="preserve">. Roberts, </w:t>
      </w:r>
      <w:r w:rsidRPr="006D3942">
        <w:rPr>
          <w:i/>
          <w:iCs/>
        </w:rPr>
        <w:t>supra</w:t>
      </w:r>
      <w:r w:rsidRPr="006D3942">
        <w:t xml:space="preserve"> note </w:t>
      </w:r>
      <w:r w:rsidR="00152D2B">
        <w:fldChar w:fldCharType="begin"/>
      </w:r>
      <w:r w:rsidR="00152D2B">
        <w:instrText xml:space="preserve"> NOTEREF _Ref177479718 \h </w:instrText>
      </w:r>
      <w:r w:rsidR="001E6745">
        <w:instrText xml:space="preserve"> \* MERGEFORMAT </w:instrText>
      </w:r>
      <w:r w:rsidR="00152D2B">
        <w:fldChar w:fldCharType="separate"/>
      </w:r>
      <w:r w:rsidR="00102CC5">
        <w:t>15</w:t>
      </w:r>
      <w:r w:rsidR="00152D2B">
        <w:fldChar w:fldCharType="end"/>
      </w:r>
      <w:r w:rsidRPr="006D3942">
        <w:t xml:space="preserve">, at </w:t>
      </w:r>
      <w:r w:rsidR="001170BC">
        <w:t>18</w:t>
      </w:r>
      <w:r w:rsidRPr="006D3942">
        <w:t>.</w:t>
      </w:r>
    </w:p>
  </w:footnote>
  <w:footnote w:id="103">
    <w:p w14:paraId="05EC87BD" w14:textId="4668D6DF"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04">
    <w:p w14:paraId="72877CA3" w14:textId="0C714AE9" w:rsidR="006D3942" w:rsidRPr="006D3942" w:rsidRDefault="006D3942" w:rsidP="00695136">
      <w:pPr>
        <w:pStyle w:val="FootNote"/>
      </w:pPr>
      <w:r w:rsidRPr="006D3942">
        <w:tab/>
      </w:r>
      <w:r w:rsidRPr="006D3942">
        <w:rPr>
          <w:rStyle w:val="NoteRefInNote"/>
        </w:rPr>
        <w:footnoteRef/>
      </w:r>
      <w:r w:rsidRPr="006D3942">
        <w:t xml:space="preserve">. Levinson, </w:t>
      </w:r>
      <w:r w:rsidRPr="006D3942">
        <w:rPr>
          <w:i/>
          <w:iCs/>
        </w:rPr>
        <w:t>supra</w:t>
      </w:r>
      <w:r w:rsidRPr="006D3942">
        <w:t xml:space="preserve"> note </w:t>
      </w:r>
      <w:r w:rsidR="00152D2B">
        <w:fldChar w:fldCharType="begin"/>
      </w:r>
      <w:r w:rsidR="00152D2B">
        <w:instrText xml:space="preserve"> NOTEREF _Ref177479778 \h </w:instrText>
      </w:r>
      <w:r w:rsidR="001E6745">
        <w:instrText xml:space="preserve"> \* MERGEFORMAT </w:instrText>
      </w:r>
      <w:r w:rsidR="00152D2B">
        <w:fldChar w:fldCharType="separate"/>
      </w:r>
      <w:r w:rsidR="00102CC5">
        <w:t>94</w:t>
      </w:r>
      <w:r w:rsidR="00152D2B">
        <w:fldChar w:fldCharType="end"/>
      </w:r>
      <w:r w:rsidRPr="006D3942">
        <w:t>, at 650.</w:t>
      </w:r>
    </w:p>
  </w:footnote>
  <w:footnote w:id="105">
    <w:p w14:paraId="78D35D73" w14:textId="11D2C2B3"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at 651–52.</w:t>
      </w:r>
    </w:p>
  </w:footnote>
  <w:footnote w:id="106">
    <w:p w14:paraId="614193CD" w14:textId="4DF39AA8" w:rsidR="006D3942" w:rsidRPr="006D3942" w:rsidRDefault="006D3942" w:rsidP="00695136">
      <w:pPr>
        <w:pStyle w:val="FootNote"/>
      </w:pPr>
      <w:r w:rsidRPr="006D3942">
        <w:tab/>
      </w:r>
      <w:r w:rsidRPr="006D3942">
        <w:rPr>
          <w:rStyle w:val="NoteRefInNote"/>
        </w:rPr>
        <w:footnoteRef/>
      </w:r>
      <w:r w:rsidRPr="006D3942">
        <w:t>. </w:t>
      </w:r>
      <w:r w:rsidR="001170BC" w:rsidRPr="00564984">
        <w:rPr>
          <w:smallCaps/>
        </w:rPr>
        <w:t>Select</w:t>
      </w:r>
      <w:r w:rsidR="001170BC">
        <w:t xml:space="preserve"> </w:t>
      </w:r>
      <w:r w:rsidRPr="006D3942">
        <w:rPr>
          <w:smallCaps/>
        </w:rPr>
        <w:t>Comm</w:t>
      </w:r>
      <w:r w:rsidR="001170BC">
        <w:rPr>
          <w:smallCaps/>
        </w:rPr>
        <w:t>’n</w:t>
      </w:r>
      <w:r w:rsidRPr="006D3942">
        <w:rPr>
          <w:smallCaps/>
        </w:rPr>
        <w:t xml:space="preserve"> on Immi</w:t>
      </w:r>
      <w:r w:rsidR="001170BC">
        <w:rPr>
          <w:smallCaps/>
        </w:rPr>
        <w:t>gr</w:t>
      </w:r>
      <w:r w:rsidRPr="006D3942">
        <w:rPr>
          <w:smallCaps/>
        </w:rPr>
        <w:t xml:space="preserve">. </w:t>
      </w:r>
      <w:r w:rsidR="00B053B5">
        <w:rPr>
          <w:smallCaps/>
        </w:rPr>
        <w:t xml:space="preserve">&amp; </w:t>
      </w:r>
      <w:r w:rsidRPr="006D3942">
        <w:rPr>
          <w:smallCaps/>
        </w:rPr>
        <w:t>Refugee Pol</w:t>
      </w:r>
      <w:r>
        <w:rPr>
          <w:smallCaps/>
        </w:rPr>
        <w:t>’</w:t>
      </w:r>
      <w:r w:rsidRPr="006D3942">
        <w:rPr>
          <w:smallCaps/>
        </w:rPr>
        <w:t>y</w:t>
      </w:r>
      <w:r w:rsidRPr="006D3942">
        <w:t xml:space="preserve">, </w:t>
      </w:r>
      <w:r w:rsidR="008F37E9">
        <w:t xml:space="preserve">U.S. </w:t>
      </w:r>
      <w:r w:rsidR="008F37E9">
        <w:rPr>
          <w:smallCaps/>
        </w:rPr>
        <w:t>Immigration Policy and the National Interest</w:t>
      </w:r>
      <w:r w:rsidR="003C4CFD">
        <w:rPr>
          <w:smallCaps/>
        </w:rPr>
        <w:t xml:space="preserve"> </w:t>
      </w:r>
      <w:r w:rsidRPr="006D3942">
        <w:t>248</w:t>
      </w:r>
      <w:r w:rsidR="001170BC">
        <w:t xml:space="preserve"> </w:t>
      </w:r>
      <w:r w:rsidRPr="006D3942">
        <w:t>(1981), https://files.eric.ed.gov/fulltext/ED211612.pdf</w:t>
      </w:r>
      <w:r w:rsidR="00024FD4">
        <w:t xml:space="preserve"> [https://perma.cc</w:t>
      </w:r>
      <w:r w:rsidR="003C4CFD">
        <w:br/>
      </w:r>
      <w:r w:rsidR="00024FD4">
        <w:t>/V6Q6-EZER]</w:t>
      </w:r>
      <w:r w:rsidR="001170BC">
        <w:t xml:space="preserve">; Churchill, </w:t>
      </w:r>
      <w:r w:rsidR="001170BC" w:rsidRPr="006D3942">
        <w:rPr>
          <w:i/>
          <w:iCs/>
        </w:rPr>
        <w:t>supra</w:t>
      </w:r>
      <w:r w:rsidR="001170BC" w:rsidRPr="006D3942">
        <w:t xml:space="preserve"> note</w:t>
      </w:r>
      <w:r w:rsidR="003C4CFD">
        <w:t xml:space="preserve"> 9</w:t>
      </w:r>
      <w:r w:rsidR="00541749">
        <w:t>2</w:t>
      </w:r>
      <w:r w:rsidR="001170BC" w:rsidRPr="006D3942">
        <w:t>, at 6.</w:t>
      </w:r>
    </w:p>
  </w:footnote>
  <w:footnote w:id="107">
    <w:p w14:paraId="652BFD44" w14:textId="15810337" w:rsidR="006D3942" w:rsidRPr="006D3942" w:rsidRDefault="006D3942" w:rsidP="00695136">
      <w:pPr>
        <w:pStyle w:val="FootNote"/>
      </w:pPr>
      <w:r w:rsidRPr="006D3942">
        <w:tab/>
      </w:r>
      <w:r w:rsidRPr="006D3942">
        <w:rPr>
          <w:rStyle w:val="NoteRefInNote"/>
        </w:rPr>
        <w:footnoteRef/>
      </w:r>
      <w:r w:rsidRPr="006D3942">
        <w:t xml:space="preserve">. Churchill, </w:t>
      </w:r>
      <w:r w:rsidRPr="006D3942">
        <w:rPr>
          <w:i/>
          <w:iCs/>
        </w:rPr>
        <w:t>supra</w:t>
      </w:r>
      <w:r w:rsidRPr="006D3942">
        <w:t xml:space="preserve"> note</w:t>
      </w:r>
      <w:r w:rsidR="003C4CFD">
        <w:t xml:space="preserve"> 9</w:t>
      </w:r>
      <w:r w:rsidR="00541749">
        <w:t>2</w:t>
      </w:r>
      <w:r w:rsidRPr="006D3942">
        <w:t>, at 6.</w:t>
      </w:r>
    </w:p>
  </w:footnote>
  <w:footnote w:id="108">
    <w:p w14:paraId="0DDB444E" w14:textId="55F85665"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09">
    <w:p w14:paraId="10559564" w14:textId="33174EFD"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10">
    <w:p w14:paraId="40FF1720" w14:textId="203E01C6"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11">
    <w:p w14:paraId="12108083" w14:textId="2E975235" w:rsidR="006D3942" w:rsidRPr="006D3942" w:rsidRDefault="006D3942" w:rsidP="00695136">
      <w:pPr>
        <w:pStyle w:val="FootNote"/>
      </w:pPr>
      <w:r w:rsidRPr="006D3942">
        <w:tab/>
      </w:r>
      <w:r w:rsidRPr="006D3942">
        <w:rPr>
          <w:rStyle w:val="NoteRefInNote"/>
        </w:rPr>
        <w:footnoteRef/>
      </w:r>
      <w:r w:rsidRPr="006D3942">
        <w:t xml:space="preserve">. Birdsong, </w:t>
      </w:r>
      <w:r w:rsidRPr="006D3942">
        <w:rPr>
          <w:i/>
          <w:iCs/>
        </w:rPr>
        <w:t>supra</w:t>
      </w:r>
      <w:r w:rsidRPr="006D3942">
        <w:t xml:space="preserve"> note </w:t>
      </w:r>
      <w:r w:rsidR="00152D2B">
        <w:fldChar w:fldCharType="begin"/>
      </w:r>
      <w:r w:rsidR="00152D2B">
        <w:instrText xml:space="preserve"> NOTEREF _Ref177479237 \h </w:instrText>
      </w:r>
      <w:r w:rsidR="001E6745">
        <w:instrText xml:space="preserve"> \* MERGEFORMAT </w:instrText>
      </w:r>
      <w:r w:rsidR="00152D2B">
        <w:fldChar w:fldCharType="separate"/>
      </w:r>
      <w:r w:rsidR="00102CC5">
        <w:t>33</w:t>
      </w:r>
      <w:r w:rsidR="00152D2B">
        <w:fldChar w:fldCharType="end"/>
      </w:r>
      <w:r w:rsidRPr="006D3942">
        <w:t xml:space="preserve">, at </w:t>
      </w:r>
      <w:r w:rsidR="001170BC">
        <w:t>44–</w:t>
      </w:r>
      <w:r w:rsidRPr="006D3942">
        <w:t>4</w:t>
      </w:r>
      <w:r w:rsidR="001170BC">
        <w:t>6</w:t>
      </w:r>
      <w:r w:rsidRPr="006D3942">
        <w:t>.</w:t>
      </w:r>
    </w:p>
  </w:footnote>
  <w:footnote w:id="112">
    <w:p w14:paraId="215C2DC7" w14:textId="5E221A9A" w:rsidR="006D3942" w:rsidRPr="006D3942" w:rsidRDefault="006D3942" w:rsidP="00695136">
      <w:pPr>
        <w:pStyle w:val="FootNote"/>
      </w:pPr>
      <w:r w:rsidRPr="006D3942">
        <w:tab/>
      </w:r>
      <w:r w:rsidRPr="006D3942">
        <w:rPr>
          <w:rStyle w:val="NoteRefInNote"/>
        </w:rPr>
        <w:footnoteRef/>
      </w:r>
      <w:r w:rsidRPr="006D3942">
        <w:t>. </w:t>
      </w:r>
      <w:r w:rsidR="00D44EE7" w:rsidRPr="00564984">
        <w:rPr>
          <w:i/>
          <w:iCs/>
        </w:rPr>
        <w:t>E.g.</w:t>
      </w:r>
      <w:r w:rsidR="00D44EE7">
        <w:t xml:space="preserve">, </w:t>
      </w:r>
      <w:r w:rsidRPr="006D3942">
        <w:t xml:space="preserve">M. Isabel Medina, </w:t>
      </w:r>
      <w:r w:rsidRPr="006D3942">
        <w:rPr>
          <w:i/>
          <w:iCs/>
        </w:rPr>
        <w:t>Judicial Review</w:t>
      </w:r>
      <w:r w:rsidR="00D44EE7">
        <w:rPr>
          <w:i/>
          <w:iCs/>
        </w:rPr>
        <w:t>—</w:t>
      </w:r>
      <w:r w:rsidRPr="006D3942">
        <w:rPr>
          <w:i/>
          <w:iCs/>
        </w:rPr>
        <w:t>A Nice Thing? Article III, Separation of Powers and the Illegal Immigration Reform and Immigrant Responsibility Act of 1996</w:t>
      </w:r>
      <w:r w:rsidRPr="006D3942">
        <w:t xml:space="preserve">, 29 </w:t>
      </w:r>
      <w:r w:rsidRPr="006D3942">
        <w:rPr>
          <w:smallCaps/>
        </w:rPr>
        <w:t>Conn. L. Rev.</w:t>
      </w:r>
      <w:r w:rsidRPr="006D3942">
        <w:t xml:space="preserve"> 1525, 15</w:t>
      </w:r>
      <w:r w:rsidR="00D44EE7">
        <w:t>25–</w:t>
      </w:r>
      <w:r w:rsidRPr="006D3942">
        <w:t>26 (1997).</w:t>
      </w:r>
    </w:p>
  </w:footnote>
  <w:footnote w:id="113">
    <w:p w14:paraId="1F9907B3" w14:textId="4B21FCD0" w:rsidR="006D3942" w:rsidRPr="006D3942" w:rsidRDefault="006D3942" w:rsidP="00695136">
      <w:pPr>
        <w:pStyle w:val="FootNote"/>
      </w:pPr>
      <w:r w:rsidRPr="006D3942">
        <w:rPr>
          <w:iCs/>
          <w:color w:val="333333"/>
          <w:shd w:val="clear" w:color="auto" w:fill="FFFFFF"/>
        </w:rPr>
        <w:tab/>
      </w:r>
      <w:r w:rsidRPr="006D3942">
        <w:rPr>
          <w:rStyle w:val="NoteRefInNote"/>
        </w:rPr>
        <w:footnoteRef/>
      </w:r>
      <w:r w:rsidRPr="006D3942">
        <w:rPr>
          <w:iCs/>
          <w:color w:val="333333"/>
          <w:shd w:val="clear" w:color="auto" w:fill="FFFFFF"/>
        </w:rPr>
        <w:t>. </w:t>
      </w:r>
      <w:r w:rsidRPr="006D3942">
        <w:rPr>
          <w:i/>
          <w:iCs/>
          <w:color w:val="333333"/>
          <w:shd w:val="clear" w:color="auto" w:fill="FFFFFF"/>
        </w:rPr>
        <w:t>See</w:t>
      </w:r>
      <w:r w:rsidR="00B41359">
        <w:rPr>
          <w:i/>
          <w:iCs/>
          <w:color w:val="333333"/>
          <w:shd w:val="clear" w:color="auto" w:fill="FFFFFF"/>
        </w:rPr>
        <w:t>,</w:t>
      </w:r>
      <w:r w:rsidRPr="006D3942">
        <w:rPr>
          <w:i/>
          <w:iCs/>
          <w:color w:val="333333"/>
          <w:shd w:val="clear" w:color="auto" w:fill="FFFFFF"/>
        </w:rPr>
        <w:t xml:space="preserve"> e.g.</w:t>
      </w:r>
      <w:r w:rsidRPr="00DF0807">
        <w:rPr>
          <w:color w:val="333333"/>
          <w:shd w:val="clear" w:color="auto" w:fill="FFFFFF"/>
        </w:rPr>
        <w:t>,</w:t>
      </w:r>
      <w:r w:rsidRPr="006D3942">
        <w:rPr>
          <w:color w:val="333333"/>
          <w:shd w:val="clear" w:color="auto" w:fill="FFFFFF"/>
        </w:rPr>
        <w:t xml:space="preserve"> </w:t>
      </w:r>
      <w:r w:rsidR="00B41359">
        <w:rPr>
          <w:i/>
          <w:iCs/>
          <w:color w:val="333333"/>
          <w:shd w:val="clear" w:color="auto" w:fill="FFFFFF"/>
        </w:rPr>
        <w:t>i</w:t>
      </w:r>
      <w:r w:rsidRPr="006D3942">
        <w:rPr>
          <w:i/>
          <w:iCs/>
          <w:color w:val="333333"/>
          <w:shd w:val="clear" w:color="auto" w:fill="FFFFFF"/>
        </w:rPr>
        <w:t>d.</w:t>
      </w:r>
      <w:r w:rsidRPr="006D3942">
        <w:rPr>
          <w:color w:val="333333"/>
          <w:shd w:val="clear" w:color="auto" w:fill="FFFFFF"/>
        </w:rPr>
        <w:t xml:space="preserve"> at 1525</w:t>
      </w:r>
      <w:r w:rsidR="00B41359">
        <w:rPr>
          <w:color w:val="333333"/>
          <w:shd w:val="clear" w:color="auto" w:fill="FFFFFF"/>
        </w:rPr>
        <w:t>–</w:t>
      </w:r>
      <w:r w:rsidR="00D44EE7">
        <w:rPr>
          <w:color w:val="333333"/>
          <w:shd w:val="clear" w:color="auto" w:fill="FFFFFF"/>
        </w:rPr>
        <w:t>26, 1555–56</w:t>
      </w:r>
      <w:r w:rsidRPr="006D3942">
        <w:rPr>
          <w:color w:val="333333"/>
          <w:shd w:val="clear" w:color="auto" w:fill="FFFFFF"/>
        </w:rPr>
        <w:t xml:space="preserve"> (arguing that IIRIRA</w:t>
      </w:r>
      <w:r>
        <w:rPr>
          <w:color w:val="333333"/>
          <w:shd w:val="clear" w:color="auto" w:fill="FFFFFF"/>
        </w:rPr>
        <w:t>’</w:t>
      </w:r>
      <w:r w:rsidRPr="006D3942">
        <w:rPr>
          <w:color w:val="333333"/>
          <w:shd w:val="clear" w:color="auto" w:fill="FFFFFF"/>
        </w:rPr>
        <w:t>s jurisdiction</w:t>
      </w:r>
      <w:r w:rsidR="00D44EE7">
        <w:rPr>
          <w:color w:val="333333"/>
          <w:shd w:val="clear" w:color="auto" w:fill="FFFFFF"/>
        </w:rPr>
        <w:t>-</w:t>
      </w:r>
      <w:r w:rsidRPr="006D3942">
        <w:rPr>
          <w:color w:val="333333"/>
          <w:shd w:val="clear" w:color="auto" w:fill="FFFFFF"/>
        </w:rPr>
        <w:t>stripping provisions are unconstitutional).</w:t>
      </w:r>
    </w:p>
  </w:footnote>
  <w:footnote w:id="114">
    <w:p w14:paraId="5BA83164" w14:textId="71EC972B" w:rsidR="006D3942" w:rsidRPr="006D3942" w:rsidRDefault="006D3942" w:rsidP="00695136">
      <w:pPr>
        <w:pStyle w:val="FootNote"/>
      </w:pPr>
      <w:r w:rsidRPr="006D3942">
        <w:tab/>
      </w:r>
      <w:r w:rsidRPr="006D3942">
        <w:rPr>
          <w:rStyle w:val="NoteRefInNote"/>
        </w:rPr>
        <w:footnoteRef/>
      </w:r>
      <w:r w:rsidRPr="006D3942">
        <w:t>. </w:t>
      </w:r>
      <w:r w:rsidR="001170BC" w:rsidRPr="00564984">
        <w:rPr>
          <w:i/>
          <w:iCs/>
        </w:rPr>
        <w:t>E.g.</w:t>
      </w:r>
      <w:r w:rsidR="001170BC">
        <w:t xml:space="preserve">, </w:t>
      </w:r>
      <w:r w:rsidRPr="006D3942">
        <w:t xml:space="preserve">Stephen H. Legomsky, </w:t>
      </w:r>
      <w:r w:rsidRPr="006D3942">
        <w:rPr>
          <w:i/>
          <w:iCs/>
        </w:rPr>
        <w:t>Deportation and the War on Independence</w:t>
      </w:r>
      <w:r w:rsidRPr="006D3942">
        <w:t xml:space="preserve">, 91 </w:t>
      </w:r>
      <w:r w:rsidRPr="006D3942">
        <w:rPr>
          <w:smallCaps/>
        </w:rPr>
        <w:t>Cornell L. Rev</w:t>
      </w:r>
      <w:r w:rsidRPr="006D3942">
        <w:t>. 369, 3</w:t>
      </w:r>
      <w:r w:rsidR="00D44EE7">
        <w:t>70–71, 403–04</w:t>
      </w:r>
      <w:r w:rsidRPr="006D3942">
        <w:t xml:space="preserve"> (2006).</w:t>
      </w:r>
    </w:p>
  </w:footnote>
  <w:footnote w:id="115">
    <w:p w14:paraId="4BCD10A6" w14:textId="7F22AD87" w:rsidR="006D3942" w:rsidRPr="006D3942" w:rsidRDefault="006D3942" w:rsidP="00695136">
      <w:pPr>
        <w:pStyle w:val="FootNote"/>
      </w:pPr>
      <w:r w:rsidRPr="006D3942">
        <w:tab/>
      </w:r>
      <w:r w:rsidRPr="006D3942">
        <w:rPr>
          <w:rStyle w:val="NoteRefInNote"/>
        </w:rPr>
        <w:footnoteRef/>
      </w:r>
      <w:r w:rsidRPr="006D3942">
        <w:t>. Marks,</w:t>
      </w:r>
      <w:r w:rsidR="00E20A78">
        <w:t xml:space="preserve"> </w:t>
      </w:r>
      <w:r w:rsidR="00E20A78" w:rsidRPr="00564984">
        <w:rPr>
          <w:i/>
          <w:iCs/>
        </w:rPr>
        <w:t>supra</w:t>
      </w:r>
      <w:r w:rsidR="00E20A78">
        <w:t xml:space="preserve"> note </w:t>
      </w:r>
      <w:r w:rsidR="00E20A78">
        <w:fldChar w:fldCharType="begin"/>
      </w:r>
      <w:r w:rsidR="00E20A78">
        <w:instrText xml:space="preserve"> NOTEREF _Ref181375938 \h </w:instrText>
      </w:r>
      <w:r w:rsidR="001E6745">
        <w:instrText xml:space="preserve"> \* MERGEFORMAT </w:instrText>
      </w:r>
      <w:r w:rsidR="00E20A78">
        <w:fldChar w:fldCharType="separate"/>
      </w:r>
      <w:r w:rsidR="00102CC5">
        <w:t>13</w:t>
      </w:r>
      <w:r w:rsidR="00E20A78">
        <w:fldChar w:fldCharType="end"/>
      </w:r>
      <w:r w:rsidR="00E20A78">
        <w:t>, at</w:t>
      </w:r>
      <w:r w:rsidRPr="006D3942">
        <w:t xml:space="preserve"> 3</w:t>
      </w:r>
      <w:r w:rsidR="00E20A78">
        <w:t xml:space="preserve"> &amp; n.1</w:t>
      </w:r>
      <w:r w:rsidRPr="006D3942">
        <w:t xml:space="preserve">, </w:t>
      </w:r>
      <w:r w:rsidR="00E20A78">
        <w:t>14–</w:t>
      </w:r>
      <w:r w:rsidRPr="006D3942">
        <w:t>15.</w:t>
      </w:r>
    </w:p>
  </w:footnote>
  <w:footnote w:id="116">
    <w:p w14:paraId="6C7EE4BA" w14:textId="5C78F3C0" w:rsidR="006D3942" w:rsidRPr="00E20A78"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E20A78">
        <w:rPr>
          <w:i/>
          <w:iCs/>
        </w:rPr>
        <w:t xml:space="preserve"> </w:t>
      </w:r>
      <w:r w:rsidR="00E20A78" w:rsidRPr="00564984">
        <w:t>at 6, 14–15.</w:t>
      </w:r>
    </w:p>
  </w:footnote>
  <w:footnote w:id="117">
    <w:p w14:paraId="047FBFC4" w14:textId="1E783834" w:rsidR="006D3942" w:rsidRPr="006D3942" w:rsidRDefault="006D3942" w:rsidP="00695136">
      <w:pPr>
        <w:pStyle w:val="FootNote"/>
      </w:pPr>
      <w:r w:rsidRPr="006D3942">
        <w:tab/>
      </w:r>
      <w:r w:rsidRPr="006D3942">
        <w:rPr>
          <w:rStyle w:val="NoteRefInNote"/>
        </w:rPr>
        <w:footnoteRef/>
      </w:r>
      <w:r w:rsidRPr="006D3942">
        <w:t>. Churchill,</w:t>
      </w:r>
      <w:r w:rsidRPr="006D3942">
        <w:rPr>
          <w:i/>
          <w:iCs/>
        </w:rPr>
        <w:t xml:space="preserve"> supra</w:t>
      </w:r>
      <w:r w:rsidRPr="006D3942">
        <w:t xml:space="preserve"> note</w:t>
      </w:r>
      <w:r w:rsidR="00AF42FE">
        <w:t xml:space="preserve"> 9</w:t>
      </w:r>
      <w:r w:rsidR="00541749">
        <w:t>2</w:t>
      </w:r>
      <w:r w:rsidRPr="006D3942">
        <w:t xml:space="preserve">, at 7 (citing </w:t>
      </w:r>
      <w:r w:rsidRPr="006D3942">
        <w:rPr>
          <w:smallCaps/>
        </w:rPr>
        <w:t>A</w:t>
      </w:r>
      <w:r w:rsidR="00E20A78">
        <w:rPr>
          <w:smallCaps/>
        </w:rPr>
        <w:t>rnold &amp; Porter LLP, A</w:t>
      </w:r>
      <w:r w:rsidRPr="006D3942">
        <w:rPr>
          <w:smallCaps/>
        </w:rPr>
        <w:t>m</w:t>
      </w:r>
      <w:r w:rsidR="00E20A78">
        <w:rPr>
          <w:smallCaps/>
        </w:rPr>
        <w:t>.</w:t>
      </w:r>
      <w:r w:rsidRPr="006D3942">
        <w:rPr>
          <w:smallCaps/>
        </w:rPr>
        <w:t xml:space="preserve"> Bar Ass</w:t>
      </w:r>
      <w:r>
        <w:rPr>
          <w:smallCaps/>
        </w:rPr>
        <w:t>’</w:t>
      </w:r>
      <w:r w:rsidRPr="006D3942">
        <w:rPr>
          <w:smallCaps/>
        </w:rPr>
        <w:t>n</w:t>
      </w:r>
      <w:r w:rsidR="00E20A78">
        <w:t xml:space="preserve"> </w:t>
      </w:r>
      <w:r w:rsidR="00E20A78" w:rsidRPr="00564984">
        <w:rPr>
          <w:smallCaps/>
        </w:rPr>
        <w:t>Comm’n on Immigr.</w:t>
      </w:r>
      <w:r w:rsidRPr="006D3942">
        <w:t xml:space="preserve">, </w:t>
      </w:r>
      <w:r w:rsidRPr="006D3942">
        <w:rPr>
          <w:smallCaps/>
        </w:rPr>
        <w:t>Reforming the Immigration System</w:t>
      </w:r>
      <w:r w:rsidR="00E20A78">
        <w:rPr>
          <w:smallCaps/>
        </w:rPr>
        <w:t xml:space="preserve"> (2010)</w:t>
      </w:r>
      <w:r w:rsidRPr="006D3942">
        <w:t xml:space="preserve">, </w:t>
      </w:r>
      <w:r w:rsidR="00AF42FE" w:rsidRPr="001E6745">
        <w:t>https://www.americanbar.org</w:t>
      </w:r>
      <w:r w:rsidR="00AF42FE">
        <w:br/>
      </w:r>
      <w:r w:rsidRPr="006D3942">
        <w:t>/content/dam/aba/publications/commission_on_immigration/coi_complete_full_report.authcheckdam.pdf</w:t>
      </w:r>
      <w:r w:rsidR="00024FD4">
        <w:t xml:space="preserve"> [https://perma.cc/EWN8-Q3HK]</w:t>
      </w:r>
      <w:r w:rsidRPr="006D3942">
        <w:t>).</w:t>
      </w:r>
    </w:p>
  </w:footnote>
  <w:footnote w:id="118">
    <w:p w14:paraId="11ECC011" w14:textId="243C3CF2" w:rsidR="006D3942" w:rsidRPr="00564984" w:rsidRDefault="006D3942" w:rsidP="00695136">
      <w:pPr>
        <w:pStyle w:val="FootNote"/>
        <w:rPr>
          <w:i/>
          <w:iCs/>
        </w:rPr>
      </w:pPr>
      <w:r w:rsidRPr="006D3942">
        <w:tab/>
      </w:r>
      <w:r w:rsidRPr="006D3942">
        <w:rPr>
          <w:rStyle w:val="NoteRefInNote"/>
        </w:rPr>
        <w:footnoteRef/>
      </w:r>
      <w:r w:rsidRPr="006D3942">
        <w:t>. </w:t>
      </w:r>
      <w:r w:rsidR="00E20A78" w:rsidRPr="00564984">
        <w:rPr>
          <w:i/>
          <w:iCs/>
        </w:rPr>
        <w:t>Id</w:t>
      </w:r>
      <w:r w:rsidRPr="00564984">
        <w:rPr>
          <w:i/>
          <w:iCs/>
        </w:rPr>
        <w:t>.</w:t>
      </w:r>
    </w:p>
  </w:footnote>
  <w:footnote w:id="119">
    <w:p w14:paraId="508F911F" w14:textId="23929078"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20">
    <w:p w14:paraId="79EE71E1" w14:textId="48BD0523" w:rsidR="006D3942" w:rsidRPr="006D3942" w:rsidRDefault="006D3942" w:rsidP="00695136">
      <w:pPr>
        <w:pStyle w:val="FootNote"/>
      </w:pPr>
      <w:r w:rsidRPr="006D3942">
        <w:tab/>
      </w:r>
      <w:r w:rsidRPr="006D3942">
        <w:rPr>
          <w:rStyle w:val="NoteRefInNote"/>
        </w:rPr>
        <w:footnoteRef/>
      </w:r>
      <w:r w:rsidRPr="006D3942">
        <w:t>. Real Courts, Rule of Law Act of 2022, H.R.</w:t>
      </w:r>
      <w:r w:rsidR="00B41359">
        <w:t xml:space="preserve"> </w:t>
      </w:r>
      <w:r w:rsidRPr="006D3942">
        <w:t>6577, 117th Cong. (2022).</w:t>
      </w:r>
    </w:p>
  </w:footnote>
  <w:footnote w:id="121">
    <w:p w14:paraId="7B67EC5E" w14:textId="167AFCBD" w:rsidR="006D3942" w:rsidRPr="006D3942" w:rsidRDefault="006D3942" w:rsidP="00695136">
      <w:pPr>
        <w:pStyle w:val="FootNote"/>
      </w:pPr>
      <w:r w:rsidRPr="006D3942">
        <w:tab/>
      </w:r>
      <w:r w:rsidRPr="006D3942">
        <w:rPr>
          <w:rStyle w:val="NoteRefInNote"/>
        </w:rPr>
        <w:footnoteRef/>
      </w:r>
      <w:r w:rsidRPr="006D3942">
        <w:t>. Real Courts, Rule of Law Act of 2024, H.R. 7724, 118th Cong. (2024).</w:t>
      </w:r>
    </w:p>
  </w:footnote>
  <w:footnote w:id="122">
    <w:p w14:paraId="29C5ED4C" w14:textId="54631E25" w:rsidR="006D3942" w:rsidRPr="005E5957" w:rsidRDefault="006D3942" w:rsidP="00695136">
      <w:pPr>
        <w:pStyle w:val="FootNote"/>
      </w:pPr>
      <w:r w:rsidRPr="006D3942">
        <w:tab/>
      </w:r>
      <w:r w:rsidRPr="006D3942">
        <w:rPr>
          <w:rStyle w:val="NoteRefInNote"/>
        </w:rPr>
        <w:footnoteRef/>
      </w:r>
      <w:r w:rsidRPr="005E5957">
        <w:t>. </w:t>
      </w:r>
      <w:r w:rsidR="00E20A78" w:rsidRPr="005E5957">
        <w:rPr>
          <w:i/>
          <w:iCs/>
        </w:rPr>
        <w:t>Id.</w:t>
      </w:r>
      <w:r w:rsidRPr="005E5957">
        <w:t xml:space="preserve"> § 601(a)(2)</w:t>
      </w:r>
      <w:r w:rsidR="00E20A78" w:rsidRPr="005E5957">
        <w:t xml:space="preserve">, (b)(2)(B), (c)(2)(B). </w:t>
      </w:r>
    </w:p>
  </w:footnote>
  <w:footnote w:id="123">
    <w:p w14:paraId="4957C299" w14:textId="7B8C2889" w:rsidR="006D3942" w:rsidRPr="005E5957" w:rsidRDefault="006D3942" w:rsidP="00695136">
      <w:pPr>
        <w:pStyle w:val="FootNote"/>
      </w:pPr>
      <w:r w:rsidRPr="005E5957">
        <w:rPr>
          <w:iCs/>
        </w:rPr>
        <w:tab/>
      </w:r>
      <w:r w:rsidRPr="006D3942">
        <w:rPr>
          <w:rStyle w:val="NoteRefInNote"/>
        </w:rPr>
        <w:footnoteRef/>
      </w:r>
      <w:r w:rsidRPr="005E5957">
        <w:rPr>
          <w:iCs/>
        </w:rPr>
        <w:t>. </w:t>
      </w:r>
      <w:r w:rsidRPr="005E5957">
        <w:rPr>
          <w:i/>
          <w:iCs/>
        </w:rPr>
        <w:t>Id.</w:t>
      </w:r>
      <w:r w:rsidRPr="005E5957">
        <w:t xml:space="preserve"> § 602(e)–(f).</w:t>
      </w:r>
    </w:p>
  </w:footnote>
  <w:footnote w:id="124">
    <w:p w14:paraId="6606AF8D" w14:textId="2AA1F5E3" w:rsidR="006D3942" w:rsidRPr="00564984" w:rsidRDefault="006D3942" w:rsidP="00695136">
      <w:pPr>
        <w:pStyle w:val="FootNote"/>
        <w:rPr>
          <w:iCs/>
        </w:rPr>
      </w:pPr>
      <w:r w:rsidRPr="005E5957">
        <w:rPr>
          <w:iCs/>
        </w:rPr>
        <w:tab/>
      </w:r>
      <w:r w:rsidRPr="006D3942">
        <w:rPr>
          <w:rStyle w:val="NoteRefInNote"/>
        </w:rPr>
        <w:footnoteRef/>
      </w:r>
      <w:r w:rsidRPr="006D3942">
        <w:rPr>
          <w:iCs/>
        </w:rPr>
        <w:t>. </w:t>
      </w:r>
      <w:r w:rsidR="00E20A78" w:rsidRPr="00564984">
        <w:rPr>
          <w:rStyle w:val="normaltextrun"/>
          <w:rFonts w:eastAsiaTheme="majorEastAsia"/>
          <w:i/>
          <w:iCs/>
          <w:color w:val="000000"/>
          <w:shd w:val="clear" w:color="auto" w:fill="FFFFFF"/>
        </w:rPr>
        <w:t xml:space="preserve">Compare </w:t>
      </w:r>
      <w:r w:rsidR="00E20A78" w:rsidRPr="00E20A78">
        <w:rPr>
          <w:rStyle w:val="normaltextrun"/>
          <w:rFonts w:eastAsiaTheme="majorEastAsia"/>
          <w:i/>
          <w:iCs/>
          <w:color w:val="000000"/>
          <w:shd w:val="clear" w:color="auto" w:fill="FFFFFF"/>
        </w:rPr>
        <w:t xml:space="preserve">id. </w:t>
      </w:r>
      <w:r w:rsidR="00E20A78" w:rsidRPr="00E20A78">
        <w:rPr>
          <w:rStyle w:val="normaltextrun"/>
          <w:rFonts w:eastAsiaTheme="majorEastAsia"/>
          <w:color w:val="000000"/>
          <w:shd w:val="clear" w:color="auto" w:fill="FFFFFF"/>
        </w:rPr>
        <w:t>§</w:t>
      </w:r>
      <w:r w:rsidR="00F154B2">
        <w:rPr>
          <w:rStyle w:val="normaltextrun"/>
          <w:rFonts w:eastAsiaTheme="majorEastAsia"/>
          <w:color w:val="000000"/>
          <w:shd w:val="clear" w:color="auto" w:fill="FFFFFF"/>
        </w:rPr>
        <w:t> </w:t>
      </w:r>
      <w:r w:rsidR="00E20A78" w:rsidRPr="00E20A78">
        <w:rPr>
          <w:rStyle w:val="normaltextrun"/>
          <w:rFonts w:eastAsiaTheme="majorEastAsia"/>
          <w:color w:val="000000"/>
          <w:shd w:val="clear" w:color="auto" w:fill="FFFFFF"/>
        </w:rPr>
        <w:t>621(c)</w:t>
      </w:r>
      <w:r w:rsidR="008F37E9">
        <w:rPr>
          <w:rStyle w:val="normaltextrun"/>
          <w:rFonts w:eastAsiaTheme="majorEastAsia"/>
          <w:color w:val="000000"/>
          <w:shd w:val="clear" w:color="auto" w:fill="FFFFFF"/>
        </w:rPr>
        <w:t>(1)</w:t>
      </w:r>
      <w:r w:rsidR="00E20A78" w:rsidRPr="00E20A78">
        <w:rPr>
          <w:rStyle w:val="normaltextrun"/>
          <w:rFonts w:eastAsiaTheme="majorEastAsia"/>
          <w:color w:val="000000"/>
          <w:shd w:val="clear" w:color="auto" w:fill="FFFFFF"/>
        </w:rPr>
        <w:t xml:space="preserve"> </w:t>
      </w:r>
      <w:r w:rsidR="00E20A78" w:rsidRPr="00564984">
        <w:rPr>
          <w:rStyle w:val="normaltextrun"/>
          <w:rFonts w:eastAsiaTheme="majorEastAsia"/>
          <w:color w:val="000000"/>
          <w:shd w:val="clear" w:color="auto" w:fill="FFFFFF"/>
        </w:rPr>
        <w:t>(“Immigration judges shall</w:t>
      </w:r>
      <w:r w:rsidR="00E20A78" w:rsidRPr="00E20A78">
        <w:rPr>
          <w:rStyle w:val="normaltextrun"/>
          <w:rFonts w:eastAsiaTheme="majorEastAsia"/>
          <w:color w:val="000000"/>
          <w:shd w:val="clear" w:color="auto" w:fill="FFFFFF"/>
        </w:rPr>
        <w:t xml:space="preserve"> </w:t>
      </w:r>
      <w:r w:rsidR="00E20A78" w:rsidRPr="00564984">
        <w:rPr>
          <w:rStyle w:val="normaltextrun"/>
          <w:rFonts w:eastAsiaTheme="majorEastAsia"/>
          <w:color w:val="000000"/>
          <w:shd w:val="clear" w:color="auto" w:fill="FFFFFF"/>
        </w:rPr>
        <w:t>have the authority, to sanction by civil money penalty, any individual whose action or inaction obstructs the administration of justice</w:t>
      </w:r>
      <w:r w:rsidR="00E20A78">
        <w:rPr>
          <w:rStyle w:val="normaltextrun"/>
          <w:rFonts w:eastAsiaTheme="majorEastAsia"/>
          <w:color w:val="000000"/>
          <w:shd w:val="clear" w:color="auto" w:fill="FFFFFF"/>
        </w:rPr>
        <w:t> . . . .</w:t>
      </w:r>
      <w:r w:rsidR="00E20A78" w:rsidRPr="00564984">
        <w:rPr>
          <w:rStyle w:val="normaltextrun"/>
          <w:rFonts w:eastAsiaTheme="majorEastAsia"/>
          <w:color w:val="000000"/>
          <w:shd w:val="clear" w:color="auto" w:fill="FFFFFF"/>
        </w:rPr>
        <w:t xml:space="preserve">”), </w:t>
      </w:r>
      <w:r w:rsidR="00E20A78" w:rsidRPr="00564984">
        <w:rPr>
          <w:rStyle w:val="normaltextrun"/>
          <w:rFonts w:eastAsiaTheme="majorEastAsia"/>
          <w:i/>
          <w:iCs/>
          <w:color w:val="000000"/>
          <w:shd w:val="clear" w:color="auto" w:fill="FFFFFF"/>
        </w:rPr>
        <w:t xml:space="preserve">with </w:t>
      </w:r>
      <w:r w:rsidR="00E20A78" w:rsidRPr="00564984">
        <w:rPr>
          <w:rStyle w:val="normaltextrun"/>
          <w:rFonts w:eastAsiaTheme="majorEastAsia"/>
          <w:color w:val="000000"/>
          <w:shd w:val="clear" w:color="auto" w:fill="FFFFFF"/>
        </w:rPr>
        <w:t>United States Immigration Court Act of 1999, H.R. 185, 106th Cong. §</w:t>
      </w:r>
      <w:r w:rsidR="00F154B2">
        <w:rPr>
          <w:rStyle w:val="normaltextrun"/>
          <w:rFonts w:eastAsiaTheme="majorEastAsia"/>
          <w:color w:val="000000"/>
          <w:shd w:val="clear" w:color="auto" w:fill="FFFFFF"/>
        </w:rPr>
        <w:t> </w:t>
      </w:r>
      <w:r w:rsidR="00E20A78" w:rsidRPr="00564984">
        <w:rPr>
          <w:rStyle w:val="normaltextrun"/>
          <w:rFonts w:eastAsiaTheme="majorEastAsia"/>
          <w:color w:val="000000"/>
          <w:shd w:val="clear" w:color="auto" w:fill="FFFFFF"/>
        </w:rPr>
        <w:t>115(c) (1999) (“Each division of the Immigration Court shall have the power to punish by fine or imprisonment, at its discretion, such contempt of its authority</w:t>
      </w:r>
      <w:r w:rsidR="003157C4">
        <w:rPr>
          <w:rStyle w:val="normaltextrun"/>
          <w:rFonts w:eastAsiaTheme="majorEastAsia"/>
          <w:color w:val="000000"/>
          <w:shd w:val="clear" w:color="auto" w:fill="FFFFFF"/>
        </w:rPr>
        <w:t xml:space="preserve"> </w:t>
      </w:r>
      <w:r w:rsidR="00E20A78">
        <w:rPr>
          <w:rStyle w:val="normaltextrun"/>
          <w:rFonts w:eastAsiaTheme="majorEastAsia"/>
          <w:color w:val="000000"/>
          <w:shd w:val="clear" w:color="auto" w:fill="FFFFFF"/>
        </w:rPr>
        <w:t>. . . .</w:t>
      </w:r>
      <w:r w:rsidR="00E20A78" w:rsidRPr="00564984">
        <w:rPr>
          <w:rStyle w:val="normaltextrun"/>
          <w:rFonts w:eastAsiaTheme="majorEastAsia"/>
          <w:color w:val="000000"/>
          <w:shd w:val="clear" w:color="auto" w:fill="FFFFFF"/>
        </w:rPr>
        <w:t xml:space="preserve">”), </w:t>
      </w:r>
      <w:r w:rsidR="00E20A78" w:rsidRPr="00564984">
        <w:rPr>
          <w:rStyle w:val="normaltextrun"/>
          <w:rFonts w:eastAsiaTheme="majorEastAsia"/>
          <w:i/>
          <w:iCs/>
          <w:color w:val="000000"/>
          <w:shd w:val="clear" w:color="auto" w:fill="FFFFFF"/>
        </w:rPr>
        <w:t xml:space="preserve">and </w:t>
      </w:r>
      <w:r w:rsidR="00E20A78" w:rsidRPr="00564984">
        <w:rPr>
          <w:rStyle w:val="normaltextrun"/>
          <w:rFonts w:eastAsiaTheme="majorEastAsia"/>
          <w:color w:val="000000"/>
          <w:shd w:val="clear" w:color="auto" w:fill="FFFFFF"/>
        </w:rPr>
        <w:t>United States Immigration Court Act of 1996, H.R. 4258, 104th Cong. §</w:t>
      </w:r>
      <w:r w:rsidR="00F154B2">
        <w:rPr>
          <w:rStyle w:val="normaltextrun"/>
          <w:rFonts w:eastAsiaTheme="majorEastAsia"/>
          <w:color w:val="000000"/>
          <w:shd w:val="clear" w:color="auto" w:fill="FFFFFF"/>
        </w:rPr>
        <w:t> </w:t>
      </w:r>
      <w:r w:rsidR="00E20A78" w:rsidRPr="00564984">
        <w:rPr>
          <w:rStyle w:val="normaltextrun"/>
          <w:rFonts w:eastAsiaTheme="majorEastAsia"/>
          <w:color w:val="000000"/>
          <w:shd w:val="clear" w:color="auto" w:fill="FFFFFF"/>
        </w:rPr>
        <w:t xml:space="preserve">115(c) (1996) (same), </w:t>
      </w:r>
      <w:r w:rsidR="00E20A78" w:rsidRPr="00564984">
        <w:rPr>
          <w:rStyle w:val="normaltextrun"/>
          <w:rFonts w:eastAsiaTheme="majorEastAsia"/>
          <w:i/>
          <w:iCs/>
          <w:color w:val="000000"/>
          <w:shd w:val="clear" w:color="auto" w:fill="FFFFFF"/>
        </w:rPr>
        <w:t xml:space="preserve">and </w:t>
      </w:r>
      <w:r w:rsidR="00E20A78" w:rsidRPr="00564984">
        <w:rPr>
          <w:rStyle w:val="normaltextrun"/>
          <w:rFonts w:eastAsiaTheme="majorEastAsia"/>
          <w:color w:val="000000"/>
          <w:shd w:val="clear" w:color="auto" w:fill="FFFFFF"/>
        </w:rPr>
        <w:t>United States Immigration Court Act of 1998, H.R. 4107, 105th Cong. §</w:t>
      </w:r>
      <w:r w:rsidR="00F154B2">
        <w:rPr>
          <w:rStyle w:val="normaltextrun"/>
          <w:rFonts w:eastAsiaTheme="majorEastAsia"/>
          <w:color w:val="000000"/>
          <w:shd w:val="clear" w:color="auto" w:fill="FFFFFF"/>
        </w:rPr>
        <w:t> </w:t>
      </w:r>
      <w:r w:rsidR="00E20A78" w:rsidRPr="00564984">
        <w:rPr>
          <w:rStyle w:val="normaltextrun"/>
          <w:rFonts w:eastAsiaTheme="majorEastAsia"/>
          <w:color w:val="000000"/>
          <w:shd w:val="clear" w:color="auto" w:fill="FFFFFF"/>
        </w:rPr>
        <w:t>115(c) (1998) (same).</w:t>
      </w:r>
      <w:r w:rsidR="00E20A78">
        <w:rPr>
          <w:iCs/>
        </w:rPr>
        <w:t xml:space="preserve"> </w:t>
      </w:r>
    </w:p>
  </w:footnote>
  <w:footnote w:id="125">
    <w:p w14:paraId="1D7AA938" w14:textId="2262D7E3" w:rsidR="006D3942" w:rsidRPr="006D3942" w:rsidRDefault="006D3942" w:rsidP="00695136">
      <w:pPr>
        <w:pStyle w:val="FootNote"/>
      </w:pPr>
      <w:r w:rsidRPr="006D3942">
        <w:rPr>
          <w:iCs/>
        </w:rPr>
        <w:tab/>
      </w:r>
      <w:r w:rsidRPr="006D3942">
        <w:rPr>
          <w:rStyle w:val="NoteRefInNote"/>
        </w:rPr>
        <w:footnoteRef/>
      </w:r>
      <w:r w:rsidRPr="006D3942">
        <w:rPr>
          <w:iCs/>
        </w:rPr>
        <w:t>. </w:t>
      </w:r>
      <w:r w:rsidR="00BE18D2">
        <w:rPr>
          <w:i/>
          <w:iCs/>
        </w:rPr>
        <w:t xml:space="preserve">Compare </w:t>
      </w:r>
      <w:r w:rsidR="00BE18D2">
        <w:t>H.R. 7724,</w:t>
      </w:r>
      <w:r w:rsidRPr="006D3942">
        <w:t xml:space="preserve"> </w:t>
      </w:r>
      <w:r>
        <w:t>§ </w:t>
      </w:r>
      <w:r w:rsidRPr="006D3942">
        <w:t>601(a)(1)</w:t>
      </w:r>
      <w:r w:rsidR="00BE18D2">
        <w:t xml:space="preserve">, </w:t>
      </w:r>
      <w:r w:rsidR="00BE18D2" w:rsidRPr="00564984">
        <w:rPr>
          <w:i/>
          <w:iCs/>
        </w:rPr>
        <w:t>with</w:t>
      </w:r>
      <w:r w:rsidR="00BE18D2">
        <w:t xml:space="preserve"> 26 U.S.C. §</w:t>
      </w:r>
      <w:r w:rsidR="00F154B2">
        <w:t> </w:t>
      </w:r>
      <w:r w:rsidR="00BE18D2">
        <w:t>7441</w:t>
      </w:r>
      <w:r w:rsidRPr="006D3942">
        <w:t>.</w:t>
      </w:r>
    </w:p>
  </w:footnote>
  <w:footnote w:id="126">
    <w:p w14:paraId="05BA8DD5" w14:textId="4500F1D0" w:rsidR="006D3942" w:rsidRPr="006D3942" w:rsidRDefault="006D3942" w:rsidP="00695136">
      <w:pPr>
        <w:pStyle w:val="FootNote"/>
      </w:pPr>
      <w:r w:rsidRPr="006D3942">
        <w:rPr>
          <w:iCs/>
        </w:rPr>
        <w:tab/>
      </w:r>
      <w:r w:rsidRPr="006D3942">
        <w:rPr>
          <w:rStyle w:val="NoteRefInNote"/>
        </w:rPr>
        <w:footnoteRef/>
      </w:r>
      <w:r w:rsidRPr="006D3942">
        <w:rPr>
          <w:iCs/>
        </w:rPr>
        <w:t>. </w:t>
      </w:r>
      <w:r w:rsidR="00BE18D2">
        <w:rPr>
          <w:i/>
          <w:iCs/>
        </w:rPr>
        <w:t xml:space="preserve">See </w:t>
      </w:r>
      <w:r w:rsidR="00BE18D2">
        <w:t>H.R. 7724,</w:t>
      </w:r>
      <w:r w:rsidR="00BE18D2" w:rsidRPr="006D3942">
        <w:t xml:space="preserve"> </w:t>
      </w:r>
      <w:r w:rsidR="00BE18D2">
        <w:t>§ </w:t>
      </w:r>
      <w:r w:rsidR="00BE18D2" w:rsidRPr="006D3942">
        <w:t>601</w:t>
      </w:r>
      <w:r w:rsidR="00BE18D2">
        <w:t xml:space="preserve">(b)(1), (c)(1), (d)(3)(B)(i) (providing for twenty-one appellate judges and establishing the procedure for a periodic survey </w:t>
      </w:r>
      <w:r w:rsidR="003E3A21">
        <w:t>“</w:t>
      </w:r>
      <w:r w:rsidR="00BE18D2">
        <w:t>to determine t</w:t>
      </w:r>
      <w:r w:rsidR="00BE18D2" w:rsidRPr="00BE18D2">
        <w:t>he number of immigration trial courts required to provide for the expeditious and effective administration of justice, as well as the geographical areas to be served by such courts</w:t>
      </w:r>
      <w:r w:rsidR="00BE18D2">
        <w:t>”).</w:t>
      </w:r>
    </w:p>
  </w:footnote>
  <w:footnote w:id="127">
    <w:p w14:paraId="06857CF1" w14:textId="32EFD04D"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w:t>
      </w:r>
      <w:r>
        <w:t>§ </w:t>
      </w:r>
      <w:r w:rsidRPr="006D3942">
        <w:t>601(</w:t>
      </w:r>
      <w:r w:rsidR="00BE18D2">
        <w:t>b)(2)(A), (c)(2)(A).</w:t>
      </w:r>
    </w:p>
  </w:footnote>
  <w:footnote w:id="128">
    <w:p w14:paraId="69ABACE7" w14:textId="4067E08C" w:rsidR="006D3942" w:rsidRPr="006D3942" w:rsidRDefault="006D3942" w:rsidP="00695136">
      <w:pPr>
        <w:pStyle w:val="FootNote"/>
      </w:pPr>
      <w:r w:rsidRPr="006D3942">
        <w:tab/>
      </w:r>
      <w:r w:rsidRPr="006D3942">
        <w:rPr>
          <w:rStyle w:val="NoteRefInNote"/>
        </w:rPr>
        <w:footnoteRef/>
      </w:r>
      <w:r w:rsidRPr="006D3942">
        <w:t>. </w:t>
      </w:r>
      <w:r w:rsidR="00BE18D2" w:rsidRPr="00564984">
        <w:rPr>
          <w:i/>
          <w:iCs/>
        </w:rPr>
        <w:t>See, e.g.</w:t>
      </w:r>
      <w:r w:rsidR="00BE18D2">
        <w:t xml:space="preserve">, </w:t>
      </w:r>
      <w:r w:rsidR="00BE18D2" w:rsidRPr="006D3942">
        <w:t xml:space="preserve">Alison Peck, </w:t>
      </w:r>
      <w:r w:rsidR="00BE18D2" w:rsidRPr="006D3942">
        <w:rPr>
          <w:i/>
          <w:iCs/>
        </w:rPr>
        <w:t>Re-Envisioning the Immigration Courts</w:t>
      </w:r>
      <w:r w:rsidR="00BE18D2" w:rsidRPr="006D3942">
        <w:t>, 21-</w:t>
      </w:r>
      <w:r w:rsidR="00BE18D2" w:rsidRPr="006D3942">
        <w:rPr>
          <w:smallCaps/>
        </w:rPr>
        <w:t xml:space="preserve">10 Immigr. Briefings </w:t>
      </w:r>
      <w:r w:rsidR="00BE18D2" w:rsidRPr="006D3942">
        <w:t>1</w:t>
      </w:r>
      <w:r w:rsidR="00BE18D2">
        <w:t>, 2–3, 5–6</w:t>
      </w:r>
      <w:r w:rsidR="00BE18D2" w:rsidRPr="006D3942">
        <w:t xml:space="preserve"> (2021)</w:t>
      </w:r>
      <w:r w:rsidR="00BE18D2">
        <w:t xml:space="preserve"> (comparing the two appointment processes and analyzing the constitutionality of this proposal)</w:t>
      </w:r>
      <w:r w:rsidRPr="006D3942">
        <w:t>.</w:t>
      </w:r>
    </w:p>
  </w:footnote>
  <w:footnote w:id="129">
    <w:p w14:paraId="14F43BD1" w14:textId="53B2A3E7" w:rsidR="006D3942" w:rsidRPr="006D3942" w:rsidRDefault="006D3942" w:rsidP="00695136">
      <w:pPr>
        <w:pStyle w:val="FootNote"/>
      </w:pPr>
      <w:r w:rsidRPr="006D3942">
        <w:tab/>
      </w:r>
      <w:r w:rsidRPr="006D3942">
        <w:rPr>
          <w:rStyle w:val="NoteRefInNote"/>
        </w:rPr>
        <w:footnoteRef/>
      </w:r>
      <w:r w:rsidRPr="006D3942">
        <w:t xml:space="preserve">. H.R. 7724, </w:t>
      </w:r>
      <w:r>
        <w:t>§ </w:t>
      </w:r>
      <w:r w:rsidRPr="006D3942">
        <w:t>625</w:t>
      </w:r>
      <w:r w:rsidR="00BE18D2">
        <w:t>(c)–(d)</w:t>
      </w:r>
      <w:r w:rsidRPr="006D3942">
        <w:t>.</w:t>
      </w:r>
    </w:p>
  </w:footnote>
  <w:footnote w:id="130">
    <w:p w14:paraId="4F06389A" w14:textId="698B2419"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w:t>
      </w:r>
      <w:r>
        <w:t>§ </w:t>
      </w:r>
      <w:r w:rsidRPr="006D3942">
        <w:t>602</w:t>
      </w:r>
      <w:r w:rsidR="00BE18D2">
        <w:t>(a)–(b), (g)</w:t>
      </w:r>
      <w:r w:rsidRPr="006D3942">
        <w:t>.</w:t>
      </w:r>
    </w:p>
  </w:footnote>
  <w:footnote w:id="131">
    <w:p w14:paraId="3CB64749" w14:textId="103B2A10" w:rsidR="006D3942" w:rsidRPr="006D3942" w:rsidRDefault="006D3942" w:rsidP="00695136">
      <w:pPr>
        <w:pStyle w:val="FootNote"/>
      </w:pPr>
      <w:r w:rsidRPr="006D3942">
        <w:rPr>
          <w:iCs/>
        </w:rPr>
        <w:tab/>
      </w:r>
      <w:r w:rsidRPr="006D3942">
        <w:rPr>
          <w:rStyle w:val="NoteRefInNote"/>
        </w:rPr>
        <w:footnoteRef/>
      </w:r>
      <w:r w:rsidRPr="006D3942">
        <w:rPr>
          <w:iCs/>
        </w:rPr>
        <w:t>. </w:t>
      </w:r>
      <w:r w:rsidR="00BE18D2" w:rsidRPr="00564984">
        <w:rPr>
          <w:i/>
        </w:rPr>
        <w:t>See</w:t>
      </w:r>
      <w:r w:rsidR="00BE18D2">
        <w:rPr>
          <w:iCs/>
        </w:rPr>
        <w:t xml:space="preserve"> </w:t>
      </w:r>
      <w:r w:rsidR="00BE18D2" w:rsidRPr="006D3942">
        <w:t xml:space="preserve">Roberts, </w:t>
      </w:r>
      <w:r w:rsidR="00BE18D2" w:rsidRPr="006D3942">
        <w:rPr>
          <w:i/>
          <w:iCs/>
        </w:rPr>
        <w:t>supra</w:t>
      </w:r>
      <w:r w:rsidR="00BE18D2" w:rsidRPr="006D3942">
        <w:t xml:space="preserve"> note </w:t>
      </w:r>
      <w:r w:rsidR="00BE18D2">
        <w:fldChar w:fldCharType="begin"/>
      </w:r>
      <w:r w:rsidR="00BE18D2">
        <w:instrText xml:space="preserve"> NOTEREF _Ref177479718 \h </w:instrText>
      </w:r>
      <w:r w:rsidR="001E6745">
        <w:instrText xml:space="preserve"> \* MERGEFORMAT </w:instrText>
      </w:r>
      <w:r w:rsidR="00BE18D2">
        <w:fldChar w:fldCharType="separate"/>
      </w:r>
      <w:r w:rsidR="00102CC5">
        <w:t>15</w:t>
      </w:r>
      <w:r w:rsidR="00BE18D2">
        <w:fldChar w:fldCharType="end"/>
      </w:r>
      <w:r w:rsidR="00BE18D2" w:rsidRPr="006D3942">
        <w:t>, at</w:t>
      </w:r>
      <w:r w:rsidR="00BE18D2">
        <w:t xml:space="preserve"> 19 (noting that the appointment process and better compensation “should help to attract the best qualified candidates”);</w:t>
      </w:r>
      <w:r w:rsidR="00BE18D2" w:rsidRPr="006D3942">
        <w:t xml:space="preserve"> Levinson, </w:t>
      </w:r>
      <w:r w:rsidR="00BE18D2" w:rsidRPr="006D3942">
        <w:rPr>
          <w:i/>
          <w:iCs/>
        </w:rPr>
        <w:t>supra</w:t>
      </w:r>
      <w:r w:rsidR="00BE18D2" w:rsidRPr="006D3942">
        <w:t xml:space="preserve"> note</w:t>
      </w:r>
      <w:r w:rsidR="003E3A21">
        <w:t xml:space="preserve"> 93</w:t>
      </w:r>
      <w:r w:rsidR="00BE18D2" w:rsidRPr="006D3942">
        <w:t xml:space="preserve">, at </w:t>
      </w:r>
      <w:r w:rsidR="00BE18D2">
        <w:t xml:space="preserve">655 (noting that a federal court could “attract the highest qualified adjudicators”); </w:t>
      </w:r>
      <w:r w:rsidR="00BE18D2">
        <w:rPr>
          <w:i/>
          <w:iCs/>
        </w:rPr>
        <w:t>s</w:t>
      </w:r>
      <w:r w:rsidRPr="006D3942">
        <w:rPr>
          <w:i/>
          <w:iCs/>
        </w:rPr>
        <w:t xml:space="preserve">ee </w:t>
      </w:r>
      <w:r w:rsidR="00BE18D2">
        <w:rPr>
          <w:i/>
          <w:iCs/>
        </w:rPr>
        <w:t xml:space="preserve">also </w:t>
      </w:r>
      <w:r w:rsidRPr="006D3942">
        <w:rPr>
          <w:i/>
          <w:iCs/>
        </w:rPr>
        <w:t>supra</w:t>
      </w:r>
      <w:r w:rsidRPr="006D3942">
        <w:t xml:space="preserve"> notes </w:t>
      </w:r>
      <w:r w:rsidR="00152D2B">
        <w:fldChar w:fldCharType="begin"/>
      </w:r>
      <w:r w:rsidR="00152D2B">
        <w:instrText xml:space="preserve"> NOTEREF _Ref177479810 \h </w:instrText>
      </w:r>
      <w:r w:rsidR="001E6745">
        <w:instrText xml:space="preserve"> \* MERGEFORMAT </w:instrText>
      </w:r>
      <w:r w:rsidR="00152D2B">
        <w:fldChar w:fldCharType="separate"/>
      </w:r>
      <w:r w:rsidR="00102CC5">
        <w:t>97</w:t>
      </w:r>
      <w:r w:rsidR="00152D2B">
        <w:fldChar w:fldCharType="end"/>
      </w:r>
      <w:r w:rsidRPr="006D3942">
        <w:t>–</w:t>
      </w:r>
      <w:r w:rsidR="00152D2B">
        <w:fldChar w:fldCharType="begin"/>
      </w:r>
      <w:r w:rsidR="00152D2B">
        <w:instrText xml:space="preserve"> NOTEREF _Ref177479956 \h </w:instrText>
      </w:r>
      <w:r w:rsidR="001E6745">
        <w:instrText xml:space="preserve"> \* MERGEFORMAT </w:instrText>
      </w:r>
      <w:r w:rsidR="00152D2B">
        <w:fldChar w:fldCharType="separate"/>
      </w:r>
      <w:r w:rsidR="00102CC5">
        <w:t>101</w:t>
      </w:r>
      <w:r w:rsidR="00152D2B">
        <w:fldChar w:fldCharType="end"/>
      </w:r>
      <w:r w:rsidRPr="006D3942">
        <w:t xml:space="preserve"> and accompanying text.</w:t>
      </w:r>
      <w:r w:rsidR="00174A5A">
        <w:t xml:space="preserve"> </w:t>
      </w:r>
    </w:p>
  </w:footnote>
  <w:footnote w:id="132">
    <w:p w14:paraId="2DEE0281" w14:textId="71B9E0CA" w:rsidR="006D3942" w:rsidRPr="006D3942" w:rsidRDefault="006D3942" w:rsidP="00695136">
      <w:pPr>
        <w:pStyle w:val="FootNote"/>
        <w:rPr>
          <w:color w:val="000000"/>
        </w:rPr>
      </w:pPr>
      <w:r w:rsidRPr="006D3942">
        <w:rPr>
          <w:iCs/>
        </w:rPr>
        <w:tab/>
      </w:r>
      <w:r w:rsidRPr="006D3942">
        <w:rPr>
          <w:rStyle w:val="NoteRefInNote"/>
        </w:rPr>
        <w:footnoteRef/>
      </w:r>
      <w:r w:rsidRPr="006D3942">
        <w:rPr>
          <w:iCs/>
        </w:rPr>
        <w:t>. </w:t>
      </w:r>
      <w:r w:rsidRPr="006D3942">
        <w:rPr>
          <w:i/>
          <w:iCs/>
        </w:rPr>
        <w:t>E.g.</w:t>
      </w:r>
      <w:r w:rsidRPr="00DF0807">
        <w:t>,</w:t>
      </w:r>
      <w:r w:rsidRPr="006D3942">
        <w:t xml:space="preserve"> </w:t>
      </w:r>
      <w:r w:rsidRPr="006D3942">
        <w:rPr>
          <w:i/>
          <w:iCs/>
          <w:bdr w:val="none" w:sz="0" w:space="0" w:color="auto" w:frame="1"/>
        </w:rPr>
        <w:t>Courts in Name Only</w:t>
      </w:r>
      <w:r w:rsidRPr="006D3942">
        <w:rPr>
          <w:bdr w:val="none" w:sz="0" w:space="0" w:color="auto" w:frame="1"/>
        </w:rPr>
        <w:t xml:space="preserve">, </w:t>
      </w:r>
      <w:r w:rsidRPr="006D3942">
        <w:rPr>
          <w:i/>
          <w:iCs/>
          <w:bdr w:val="none" w:sz="0" w:space="0" w:color="auto" w:frame="1"/>
        </w:rPr>
        <w:t>supra</w:t>
      </w:r>
      <w:r w:rsidRPr="006D3942">
        <w:rPr>
          <w:bdr w:val="none" w:sz="0" w:space="0" w:color="auto" w:frame="1"/>
        </w:rPr>
        <w:t xml:space="preserve"> note </w:t>
      </w:r>
      <w:r w:rsidR="00EE1E92">
        <w:rPr>
          <w:szCs w:val="17"/>
        </w:rPr>
        <w:fldChar w:fldCharType="begin"/>
      </w:r>
      <w:r w:rsidR="00EE1E92">
        <w:rPr>
          <w:szCs w:val="17"/>
        </w:rPr>
        <w:instrText xml:space="preserve"> NOTEREF _Ref186561727 \h </w:instrText>
      </w:r>
      <w:r w:rsidR="001E6745">
        <w:rPr>
          <w:szCs w:val="17"/>
        </w:rPr>
        <w:instrText xml:space="preserve"> \* MERGEFORMAT </w:instrText>
      </w:r>
      <w:r w:rsidR="00EE1E92">
        <w:rPr>
          <w:szCs w:val="17"/>
        </w:rPr>
      </w:r>
      <w:r w:rsidR="00EE1E92">
        <w:rPr>
          <w:szCs w:val="17"/>
        </w:rPr>
        <w:fldChar w:fldCharType="separate"/>
      </w:r>
      <w:r w:rsidR="00102CC5">
        <w:rPr>
          <w:szCs w:val="17"/>
        </w:rPr>
        <w:t>28</w:t>
      </w:r>
      <w:r w:rsidR="00EE1E92">
        <w:rPr>
          <w:szCs w:val="17"/>
        </w:rPr>
        <w:fldChar w:fldCharType="end"/>
      </w:r>
      <w:r w:rsidRPr="006D3942">
        <w:rPr>
          <w:bdr w:val="none" w:sz="0" w:space="0" w:color="auto" w:frame="1"/>
        </w:rPr>
        <w:t xml:space="preserve">, at </w:t>
      </w:r>
      <w:r w:rsidR="00BE18D2">
        <w:rPr>
          <w:bdr w:val="none" w:sz="0" w:space="0" w:color="auto" w:frame="1"/>
        </w:rPr>
        <w:t>917–18</w:t>
      </w:r>
      <w:r w:rsidRPr="006D3942">
        <w:t xml:space="preserve">; </w:t>
      </w:r>
      <w:r w:rsidR="00BE18D2" w:rsidRPr="00564984">
        <w:rPr>
          <w:i/>
          <w:iCs/>
        </w:rPr>
        <w:t>see also</w:t>
      </w:r>
      <w:r w:rsidR="00BE18D2">
        <w:t xml:space="preserve"> </w:t>
      </w:r>
      <w:r w:rsidRPr="006D3942">
        <w:t>Karen M. Sams</w:t>
      </w:r>
      <w:r w:rsidRPr="006D3942">
        <w:rPr>
          <w:color w:val="000000"/>
        </w:rPr>
        <w:t>,</w:t>
      </w:r>
      <w:r w:rsidR="00BE18D2">
        <w:rPr>
          <w:color w:val="000000"/>
        </w:rPr>
        <w:t xml:space="preserve"> Comment,</w:t>
      </w:r>
      <w:r w:rsidRPr="006D3942">
        <w:rPr>
          <w:color w:val="000000"/>
        </w:rPr>
        <w:t xml:space="preserve"> </w:t>
      </w:r>
      <w:r w:rsidRPr="006D3942">
        <w:rPr>
          <w:i/>
          <w:iCs/>
          <w:color w:val="000000"/>
        </w:rPr>
        <w:t>Out of the Hands of One: Toward Independence in Immigration Adjudication</w:t>
      </w:r>
      <w:r w:rsidRPr="006D3942">
        <w:rPr>
          <w:color w:val="000000"/>
        </w:rPr>
        <w:t xml:space="preserve">, 5 </w:t>
      </w:r>
      <w:r w:rsidRPr="006D3942">
        <w:rPr>
          <w:smallCaps/>
          <w:color w:val="000000"/>
        </w:rPr>
        <w:t>A</w:t>
      </w:r>
      <w:r w:rsidR="00BE18D2">
        <w:rPr>
          <w:smallCaps/>
          <w:color w:val="000000"/>
        </w:rPr>
        <w:t>dmin</w:t>
      </w:r>
      <w:r w:rsidRPr="006D3942">
        <w:rPr>
          <w:smallCaps/>
          <w:color w:val="000000"/>
        </w:rPr>
        <w:t>.</w:t>
      </w:r>
      <w:r w:rsidR="00BE18D2">
        <w:rPr>
          <w:smallCaps/>
          <w:color w:val="000000"/>
        </w:rPr>
        <w:t xml:space="preserve"> </w:t>
      </w:r>
      <w:r w:rsidRPr="006D3942">
        <w:rPr>
          <w:smallCaps/>
          <w:color w:val="000000"/>
        </w:rPr>
        <w:t>L.</w:t>
      </w:r>
      <w:r w:rsidR="00BE18D2">
        <w:rPr>
          <w:smallCaps/>
          <w:color w:val="000000"/>
        </w:rPr>
        <w:t xml:space="preserve"> </w:t>
      </w:r>
      <w:r w:rsidRPr="006D3942">
        <w:rPr>
          <w:smallCaps/>
          <w:color w:val="000000"/>
        </w:rPr>
        <w:t>R</w:t>
      </w:r>
      <w:r w:rsidR="00BE18D2">
        <w:rPr>
          <w:smallCaps/>
          <w:color w:val="000000"/>
        </w:rPr>
        <w:t>ev</w:t>
      </w:r>
      <w:r w:rsidRPr="006D3942">
        <w:rPr>
          <w:smallCaps/>
          <w:color w:val="000000"/>
        </w:rPr>
        <w:t>. Accord</w:t>
      </w:r>
      <w:r w:rsidRPr="006D3942">
        <w:rPr>
          <w:color w:val="000000"/>
        </w:rPr>
        <w:t xml:space="preserve"> 85, 10</w:t>
      </w:r>
      <w:r w:rsidR="00BE18D2">
        <w:rPr>
          <w:color w:val="000000"/>
        </w:rPr>
        <w:t>9</w:t>
      </w:r>
      <w:r w:rsidRPr="006D3942">
        <w:t>–</w:t>
      </w:r>
      <w:r w:rsidRPr="006D3942">
        <w:rPr>
          <w:color w:val="000000"/>
        </w:rPr>
        <w:t>10 (2019)</w:t>
      </w:r>
      <w:r w:rsidR="00BE18D2">
        <w:rPr>
          <w:color w:val="000000"/>
        </w:rPr>
        <w:t xml:space="preserve"> (advocating for converting IJs and BIA members into ALJs)</w:t>
      </w:r>
      <w:r w:rsidRPr="006D3942">
        <w:rPr>
          <w:color w:val="000000"/>
        </w:rPr>
        <w:t>.</w:t>
      </w:r>
    </w:p>
  </w:footnote>
  <w:footnote w:id="133">
    <w:p w14:paraId="0167FA2E" w14:textId="0BE2F7D0" w:rsidR="006D3942" w:rsidRPr="006D3942" w:rsidRDefault="006D3942" w:rsidP="00695136">
      <w:pPr>
        <w:pStyle w:val="FootNote"/>
        <w:rPr>
          <w:color w:val="000000"/>
        </w:rPr>
      </w:pPr>
      <w:r w:rsidRPr="006D3942">
        <w:rPr>
          <w:iCs/>
        </w:rPr>
        <w:tab/>
      </w:r>
      <w:r w:rsidRPr="006D3942">
        <w:rPr>
          <w:rStyle w:val="NoteRefInNote"/>
        </w:rPr>
        <w:footnoteRef/>
      </w:r>
      <w:r w:rsidRPr="006D3942">
        <w:rPr>
          <w:iCs/>
        </w:rPr>
        <w:t>. </w:t>
      </w:r>
      <w:r w:rsidR="00142F87">
        <w:rPr>
          <w:i/>
          <w:iCs/>
        </w:rPr>
        <w:t>See, e</w:t>
      </w:r>
      <w:r w:rsidRPr="006D3942">
        <w:rPr>
          <w:i/>
          <w:iCs/>
        </w:rPr>
        <w:t>.g.</w:t>
      </w:r>
      <w:r w:rsidRPr="00DF0807">
        <w:t>,</w:t>
      </w:r>
      <w:r w:rsidRPr="006D3942">
        <w:t xml:space="preserve"> Legomsky, </w:t>
      </w:r>
      <w:r w:rsidRPr="006D3942">
        <w:rPr>
          <w:i/>
          <w:iCs/>
        </w:rPr>
        <w:t>supra</w:t>
      </w:r>
      <w:r w:rsidRPr="006D3942">
        <w:t xml:space="preserve"> note </w:t>
      </w:r>
      <w:r w:rsidR="00152D2B">
        <w:fldChar w:fldCharType="begin"/>
      </w:r>
      <w:r w:rsidR="00152D2B">
        <w:instrText xml:space="preserve"> NOTEREF _Ref177479292 \h </w:instrText>
      </w:r>
      <w:r w:rsidR="001E6745">
        <w:instrText xml:space="preserve"> \* MERGEFORMAT </w:instrText>
      </w:r>
      <w:r w:rsidR="00152D2B">
        <w:fldChar w:fldCharType="separate"/>
      </w:r>
      <w:r w:rsidR="00102CC5">
        <w:t>23</w:t>
      </w:r>
      <w:r w:rsidR="00152D2B">
        <w:fldChar w:fldCharType="end"/>
      </w:r>
      <w:r w:rsidRPr="006D3942">
        <w:rPr>
          <w:color w:val="000000"/>
        </w:rPr>
        <w:t>, at 167</w:t>
      </w:r>
      <w:r w:rsidR="00142F87">
        <w:rPr>
          <w:color w:val="000000"/>
        </w:rPr>
        <w:t>8</w:t>
      </w:r>
      <w:r w:rsidRPr="006D3942">
        <w:t>–</w:t>
      </w:r>
      <w:r w:rsidRPr="006D3942">
        <w:rPr>
          <w:color w:val="000000"/>
        </w:rPr>
        <w:t>8</w:t>
      </w:r>
      <w:r w:rsidR="00142F87">
        <w:rPr>
          <w:color w:val="000000"/>
        </w:rPr>
        <w:t>0 (expressing concerns about political influence over the renewal process for Article I IJs</w:t>
      </w:r>
      <w:r w:rsidR="00E94462">
        <w:rPr>
          <w:color w:val="000000"/>
        </w:rPr>
        <w:t>—</w:t>
      </w:r>
      <w:r w:rsidR="00142F87">
        <w:rPr>
          <w:color w:val="000000"/>
        </w:rPr>
        <w:t>who would serve set term</w:t>
      </w:r>
      <w:r w:rsidR="00E94462">
        <w:rPr>
          <w:color w:val="000000"/>
        </w:rPr>
        <w:t>s—</w:t>
      </w:r>
      <w:r w:rsidR="00142F87">
        <w:rPr>
          <w:color w:val="000000"/>
        </w:rPr>
        <w:t>and the potential removal of Article III appellate judicial review)</w:t>
      </w:r>
      <w:r w:rsidRPr="006D3942">
        <w:rPr>
          <w:color w:val="000000"/>
        </w:rPr>
        <w:t>.</w:t>
      </w:r>
    </w:p>
  </w:footnote>
  <w:footnote w:id="134">
    <w:p w14:paraId="3D5F2BF7" w14:textId="29B050EF" w:rsidR="006D3942" w:rsidRPr="00564984" w:rsidRDefault="006D3942" w:rsidP="00695136">
      <w:pPr>
        <w:pStyle w:val="FootNote"/>
        <w:rPr>
          <w:color w:val="000000" w:themeColor="text1"/>
        </w:rPr>
      </w:pPr>
      <w:r w:rsidRPr="006D3942">
        <w:rPr>
          <w:iCs/>
        </w:rPr>
        <w:tab/>
      </w:r>
      <w:r w:rsidRPr="006D3942">
        <w:rPr>
          <w:rStyle w:val="NoteRefInNote"/>
        </w:rPr>
        <w:footnoteRef/>
      </w:r>
      <w:r w:rsidRPr="006D3942">
        <w:rPr>
          <w:iCs/>
        </w:rPr>
        <w:t>. </w:t>
      </w:r>
      <w:r w:rsidRPr="006D3942">
        <w:rPr>
          <w:i/>
          <w:iCs/>
        </w:rPr>
        <w:t>See</w:t>
      </w:r>
      <w:r w:rsidR="00142F87">
        <w:rPr>
          <w:i/>
          <w:iCs/>
        </w:rPr>
        <w:t>, e.g.</w:t>
      </w:r>
      <w:r w:rsidR="00142F87" w:rsidRPr="00564984">
        <w:t>,</w:t>
      </w:r>
      <w:r w:rsidRPr="006D3942">
        <w:rPr>
          <w:i/>
          <w:iCs/>
        </w:rPr>
        <w:t xml:space="preserve"> id.</w:t>
      </w:r>
      <w:r w:rsidRPr="006D3942">
        <w:t xml:space="preserve"> at 168</w:t>
      </w:r>
      <w:r w:rsidR="00142F87">
        <w:t>6, 1688–92</w:t>
      </w:r>
      <w:r w:rsidRPr="006D3942">
        <w:t xml:space="preserve"> (</w:t>
      </w:r>
      <w:r w:rsidR="00142F87">
        <w:t>proposing the creation of a new Article III appellate immigration court to restore judicial independence</w:t>
      </w:r>
      <w:r w:rsidRPr="006D3942">
        <w:t xml:space="preserve">); </w:t>
      </w:r>
      <w:r w:rsidRPr="00564984">
        <w:rPr>
          <w:i/>
          <w:iCs/>
          <w:color w:val="000000" w:themeColor="text1"/>
          <w:shd w:val="clear" w:color="auto" w:fill="FFFFFF"/>
        </w:rPr>
        <w:t>see also</w:t>
      </w:r>
      <w:r w:rsidRPr="00564984">
        <w:rPr>
          <w:color w:val="000000" w:themeColor="text1"/>
          <w:shd w:val="clear" w:color="auto" w:fill="FFFFFF"/>
        </w:rPr>
        <w:t xml:space="preserve"> Holper, </w:t>
      </w:r>
      <w:r w:rsidRPr="00564984">
        <w:rPr>
          <w:i/>
          <w:iCs/>
          <w:color w:val="000000" w:themeColor="text1"/>
          <w:shd w:val="clear" w:color="auto" w:fill="FFFFFF"/>
        </w:rPr>
        <w:t>supra</w:t>
      </w:r>
      <w:r w:rsidRPr="00564984">
        <w:rPr>
          <w:color w:val="000000" w:themeColor="text1"/>
          <w:shd w:val="clear" w:color="auto" w:fill="FFFFFF"/>
        </w:rPr>
        <w:t xml:space="preserve"> note </w:t>
      </w:r>
      <w:r w:rsidR="00152D2B" w:rsidRPr="00564984">
        <w:rPr>
          <w:color w:val="000000" w:themeColor="text1"/>
          <w:shd w:val="clear" w:color="auto" w:fill="FFFFFF"/>
        </w:rPr>
        <w:fldChar w:fldCharType="begin"/>
      </w:r>
      <w:r w:rsidR="00152D2B" w:rsidRPr="00564984">
        <w:rPr>
          <w:color w:val="000000" w:themeColor="text1"/>
          <w:shd w:val="clear" w:color="auto" w:fill="FFFFFF"/>
        </w:rPr>
        <w:instrText xml:space="preserve"> NOTEREF _Ref177479486 \h </w:instrText>
      </w:r>
      <w:r w:rsidR="001E6745">
        <w:rPr>
          <w:color w:val="000000" w:themeColor="text1"/>
          <w:shd w:val="clear" w:color="auto" w:fill="FFFFFF"/>
        </w:rPr>
        <w:instrText xml:space="preserve"> \* MERGEFORMAT </w:instrText>
      </w:r>
      <w:r w:rsidR="00152D2B" w:rsidRPr="00564984">
        <w:rPr>
          <w:color w:val="000000" w:themeColor="text1"/>
          <w:shd w:val="clear" w:color="auto" w:fill="FFFFFF"/>
        </w:rPr>
      </w:r>
      <w:r w:rsidR="00152D2B" w:rsidRPr="00564984">
        <w:rPr>
          <w:color w:val="000000" w:themeColor="text1"/>
          <w:shd w:val="clear" w:color="auto" w:fill="FFFFFF"/>
        </w:rPr>
        <w:fldChar w:fldCharType="separate"/>
      </w:r>
      <w:r w:rsidR="00102CC5">
        <w:rPr>
          <w:color w:val="000000" w:themeColor="text1"/>
          <w:shd w:val="clear" w:color="auto" w:fill="FFFFFF"/>
        </w:rPr>
        <w:t>9</w:t>
      </w:r>
      <w:r w:rsidR="00152D2B" w:rsidRPr="00564984">
        <w:rPr>
          <w:color w:val="000000" w:themeColor="text1"/>
          <w:shd w:val="clear" w:color="auto" w:fill="FFFFFF"/>
        </w:rPr>
        <w:fldChar w:fldCharType="end"/>
      </w:r>
      <w:r w:rsidR="007B07DF" w:rsidRPr="00564984">
        <w:rPr>
          <w:color w:val="000000" w:themeColor="text1"/>
          <w:shd w:val="clear" w:color="auto" w:fill="FFFFFF"/>
        </w:rPr>
        <w:t>,</w:t>
      </w:r>
      <w:r w:rsidR="00152D2B" w:rsidRPr="00564984">
        <w:rPr>
          <w:color w:val="000000" w:themeColor="text1"/>
          <w:shd w:val="clear" w:color="auto" w:fill="FFFFFF"/>
        </w:rPr>
        <w:t xml:space="preserve"> </w:t>
      </w:r>
      <w:r w:rsidRPr="00564984">
        <w:rPr>
          <w:color w:val="000000" w:themeColor="text1"/>
          <w:shd w:val="clear" w:color="auto" w:fill="FFFFFF"/>
        </w:rPr>
        <w:t xml:space="preserve">at 1078 (arguing that Congress should strip immigration judges of their ability to review detention decisions because detention is a form of punishment and therefore </w:t>
      </w:r>
      <w:r w:rsidR="00142F87">
        <w:rPr>
          <w:color w:val="000000" w:themeColor="text1"/>
          <w:shd w:val="clear" w:color="auto" w:fill="FFFFFF"/>
        </w:rPr>
        <w:t xml:space="preserve">review </w:t>
      </w:r>
      <w:r w:rsidRPr="00564984">
        <w:rPr>
          <w:color w:val="000000" w:themeColor="text1"/>
          <w:shd w:val="clear" w:color="auto" w:fill="FFFFFF"/>
        </w:rPr>
        <w:t>must be entrusted to Article III judges).</w:t>
      </w:r>
    </w:p>
  </w:footnote>
  <w:footnote w:id="135">
    <w:p w14:paraId="6A6A6FE6" w14:textId="6F69E792"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E.g.</w:t>
      </w:r>
      <w:r w:rsidRPr="006D3942">
        <w:t xml:space="preserve">, Amit Jain, </w:t>
      </w:r>
      <w:r w:rsidRPr="006D3942">
        <w:rPr>
          <w:i/>
          <w:iCs/>
          <w:bdr w:val="none" w:sz="0" w:space="0" w:color="auto" w:frame="1"/>
        </w:rPr>
        <w:t xml:space="preserve">Bureaucrats in Robes: Immigration </w:t>
      </w:r>
      <w:r>
        <w:rPr>
          <w:i/>
          <w:iCs/>
          <w:bdr w:val="none" w:sz="0" w:space="0" w:color="auto" w:frame="1"/>
        </w:rPr>
        <w:t>“</w:t>
      </w:r>
      <w:r w:rsidRPr="006D3942">
        <w:rPr>
          <w:i/>
          <w:iCs/>
          <w:bdr w:val="none" w:sz="0" w:space="0" w:color="auto" w:frame="1"/>
        </w:rPr>
        <w:t>Judges</w:t>
      </w:r>
      <w:r>
        <w:rPr>
          <w:i/>
          <w:iCs/>
          <w:bdr w:val="none" w:sz="0" w:space="0" w:color="auto" w:frame="1"/>
        </w:rPr>
        <w:t>”</w:t>
      </w:r>
      <w:r w:rsidRPr="006D3942">
        <w:rPr>
          <w:i/>
          <w:iCs/>
          <w:bdr w:val="none" w:sz="0" w:space="0" w:color="auto" w:frame="1"/>
        </w:rPr>
        <w:t xml:space="preserve"> and the Trappings of </w:t>
      </w:r>
      <w:r>
        <w:rPr>
          <w:i/>
          <w:iCs/>
          <w:bdr w:val="none" w:sz="0" w:space="0" w:color="auto" w:frame="1"/>
        </w:rPr>
        <w:t>“</w:t>
      </w:r>
      <w:r w:rsidRPr="006D3942">
        <w:rPr>
          <w:i/>
          <w:iCs/>
          <w:bdr w:val="none" w:sz="0" w:space="0" w:color="auto" w:frame="1"/>
        </w:rPr>
        <w:t>Courts</w:t>
      </w:r>
      <w:r w:rsidR="00E94462" w:rsidRPr="001E6745">
        <w:rPr>
          <w:bdr w:val="none" w:sz="0" w:space="0" w:color="auto" w:frame="1"/>
        </w:rPr>
        <w:t>,</w:t>
      </w:r>
      <w:r>
        <w:rPr>
          <w:i/>
          <w:iCs/>
          <w:bdr w:val="none" w:sz="0" w:space="0" w:color="auto" w:frame="1"/>
        </w:rPr>
        <w:t>”</w:t>
      </w:r>
      <w:r w:rsidRPr="006D3942">
        <w:t xml:space="preserve"> </w:t>
      </w:r>
      <w:r w:rsidRPr="006D3942">
        <w:rPr>
          <w:smallCaps/>
        </w:rPr>
        <w:t>33 Geo. Immigr. L.J</w:t>
      </w:r>
      <w:r w:rsidRPr="006D3942">
        <w:t>. 261, 325 (2019)</w:t>
      </w:r>
      <w:r w:rsidR="00142F87">
        <w:t xml:space="preserve">. Additionally, for a discussion about how immigration </w:t>
      </w:r>
      <w:r w:rsidR="00974D26">
        <w:t xml:space="preserve">reform </w:t>
      </w:r>
      <w:r w:rsidR="008F7335">
        <w:t xml:space="preserve">proposals </w:t>
      </w:r>
      <w:r w:rsidR="00974D26">
        <w:t xml:space="preserve">must consider the ways in which </w:t>
      </w:r>
      <w:r w:rsidR="00142F87">
        <w:t xml:space="preserve">many removals </w:t>
      </w:r>
      <w:r w:rsidR="00974D26">
        <w:t xml:space="preserve">are </w:t>
      </w:r>
      <w:r w:rsidR="00142F87">
        <w:t xml:space="preserve">effectuated </w:t>
      </w:r>
      <w:r w:rsidR="00974D26">
        <w:t xml:space="preserve">without </w:t>
      </w:r>
      <w:r w:rsidR="00CC737C">
        <w:t>an</w:t>
      </w:r>
      <w:r w:rsidR="00CC3799">
        <w:t xml:space="preserve"> opportunity to be heard in immigration court</w:t>
      </w:r>
      <w:r w:rsidR="00142F87">
        <w:t>, see</w:t>
      </w:r>
      <w:r w:rsidRPr="006D3942">
        <w:t xml:space="preserve"> Jennifer Lee Koh, </w:t>
      </w:r>
      <w:r w:rsidRPr="006D3942">
        <w:rPr>
          <w:i/>
          <w:iCs/>
        </w:rPr>
        <w:t>Removal in the Shadows of Immigration Court</w:t>
      </w:r>
      <w:r w:rsidRPr="006D3942">
        <w:t>, 90 S</w:t>
      </w:r>
      <w:r w:rsidRPr="006D3942">
        <w:rPr>
          <w:smallCaps/>
        </w:rPr>
        <w:t>. Cal. L. Rev.</w:t>
      </w:r>
      <w:r w:rsidRPr="006D3942">
        <w:t xml:space="preserve"> 181, </w:t>
      </w:r>
      <w:r w:rsidR="000745E6">
        <w:t>193</w:t>
      </w:r>
      <w:r w:rsidR="00142F87">
        <w:t>–</w:t>
      </w:r>
      <w:r w:rsidR="000745E6">
        <w:t>214</w:t>
      </w:r>
      <w:r w:rsidR="000745E6" w:rsidRPr="006D3942">
        <w:t xml:space="preserve"> </w:t>
      </w:r>
      <w:r w:rsidRPr="006D3942">
        <w:t>(2017).</w:t>
      </w:r>
    </w:p>
  </w:footnote>
  <w:footnote w:id="136">
    <w:p w14:paraId="791D8B94" w14:textId="433368E5" w:rsidR="006D3942" w:rsidRPr="00564984" w:rsidRDefault="006D3942" w:rsidP="00695136">
      <w:pPr>
        <w:pStyle w:val="FootNote"/>
        <w:rPr>
          <w:color w:val="000000" w:themeColor="text1"/>
        </w:rPr>
      </w:pPr>
      <w:r w:rsidRPr="006D3942">
        <w:rPr>
          <w:iCs/>
        </w:rPr>
        <w:tab/>
      </w:r>
      <w:r w:rsidRPr="006D3942">
        <w:rPr>
          <w:rStyle w:val="NoteRefInNote"/>
        </w:rPr>
        <w:footnoteRef/>
      </w:r>
      <w:r w:rsidRPr="006D3942">
        <w:rPr>
          <w:iCs/>
        </w:rPr>
        <w:t>. </w:t>
      </w:r>
      <w:r w:rsidRPr="00564984">
        <w:rPr>
          <w:i/>
          <w:iCs/>
          <w:color w:val="000000" w:themeColor="text1"/>
        </w:rPr>
        <w:t>See</w:t>
      </w:r>
      <w:r w:rsidR="00B41359" w:rsidRPr="00564984">
        <w:rPr>
          <w:i/>
          <w:iCs/>
          <w:color w:val="000000" w:themeColor="text1"/>
        </w:rPr>
        <w:t>,</w:t>
      </w:r>
      <w:r w:rsidRPr="00564984">
        <w:rPr>
          <w:i/>
          <w:iCs/>
          <w:color w:val="000000" w:themeColor="text1"/>
        </w:rPr>
        <w:t xml:space="preserve"> e.g.</w:t>
      </w:r>
      <w:r w:rsidRPr="00564984">
        <w:rPr>
          <w:color w:val="000000" w:themeColor="text1"/>
        </w:rPr>
        <w:t>, Jain</w:t>
      </w:r>
      <w:r w:rsidRPr="00564984">
        <w:rPr>
          <w:color w:val="000000" w:themeColor="text1"/>
          <w:shd w:val="clear" w:color="auto" w:fill="FFFFFF"/>
        </w:rPr>
        <w:t xml:space="preserve">, </w:t>
      </w:r>
      <w:r w:rsidRPr="00564984">
        <w:rPr>
          <w:i/>
          <w:iCs/>
          <w:color w:val="000000" w:themeColor="text1"/>
          <w:shd w:val="clear" w:color="auto" w:fill="FFFFFF"/>
        </w:rPr>
        <w:t>supra</w:t>
      </w:r>
      <w:r w:rsidRPr="00564984">
        <w:rPr>
          <w:color w:val="000000" w:themeColor="text1"/>
          <w:shd w:val="clear" w:color="auto" w:fill="FFFFFF"/>
        </w:rPr>
        <w:t xml:space="preserve"> note</w:t>
      </w:r>
      <w:r w:rsidR="00E94462">
        <w:rPr>
          <w:color w:val="000000" w:themeColor="text1"/>
          <w:shd w:val="clear" w:color="auto" w:fill="FFFFFF"/>
        </w:rPr>
        <w:t xml:space="preserve"> 13</w:t>
      </w:r>
      <w:r w:rsidR="00541749">
        <w:rPr>
          <w:color w:val="000000" w:themeColor="text1"/>
          <w:shd w:val="clear" w:color="auto" w:fill="FFFFFF"/>
        </w:rPr>
        <w:t>5</w:t>
      </w:r>
      <w:r w:rsidRPr="00564984">
        <w:rPr>
          <w:color w:val="000000" w:themeColor="text1"/>
          <w:shd w:val="clear" w:color="auto" w:fill="FFFFFF"/>
        </w:rPr>
        <w:t>, at 323</w:t>
      </w:r>
      <w:r w:rsidR="00142F87">
        <w:rPr>
          <w:color w:val="000000" w:themeColor="text1"/>
          <w:shd w:val="clear" w:color="auto" w:fill="FFFFFF"/>
        </w:rPr>
        <w:t>–24</w:t>
      </w:r>
      <w:r w:rsidRPr="00564984">
        <w:rPr>
          <w:color w:val="000000" w:themeColor="text1"/>
          <w:shd w:val="clear" w:color="auto" w:fill="FFFFFF"/>
        </w:rPr>
        <w:t xml:space="preserve"> (</w:t>
      </w:r>
      <w:r w:rsidR="00142F87">
        <w:rPr>
          <w:color w:val="000000" w:themeColor="text1"/>
          <w:shd w:val="clear" w:color="auto" w:fill="FFFFFF"/>
        </w:rPr>
        <w:t>arguing that creating an Article I court without addressing deeper systemic issues would “legitimize the power imbalances and substantive injustices that have rotted the core of our immigration system”</w:t>
      </w:r>
      <w:r w:rsidRPr="00564984">
        <w:rPr>
          <w:color w:val="000000" w:themeColor="text1"/>
          <w:shd w:val="clear" w:color="auto" w:fill="FFFFFF"/>
        </w:rPr>
        <w:t>).</w:t>
      </w:r>
      <w:r w:rsidR="00142F87">
        <w:rPr>
          <w:color w:val="000000" w:themeColor="text1"/>
          <w:shd w:val="clear" w:color="auto" w:fill="FFFFFF"/>
        </w:rPr>
        <w:t xml:space="preserve"> </w:t>
      </w:r>
    </w:p>
  </w:footnote>
  <w:footnote w:id="137">
    <w:p w14:paraId="499898F3" w14:textId="46B0C57E" w:rsidR="006D3942" w:rsidRPr="00564984" w:rsidRDefault="006D3942" w:rsidP="00695136">
      <w:pPr>
        <w:pStyle w:val="FootNote"/>
        <w:rPr>
          <w:color w:val="000000" w:themeColor="text1"/>
        </w:rPr>
      </w:pPr>
      <w:r w:rsidRPr="006D3942">
        <w:rPr>
          <w:iCs/>
        </w:rPr>
        <w:tab/>
      </w:r>
      <w:r w:rsidRPr="006D3942">
        <w:rPr>
          <w:rStyle w:val="NoteRefInNote"/>
        </w:rPr>
        <w:footnoteRef/>
      </w:r>
      <w:r w:rsidRPr="006D3942">
        <w:rPr>
          <w:iCs/>
        </w:rPr>
        <w:t>. </w:t>
      </w:r>
      <w:r w:rsidRPr="00564984">
        <w:rPr>
          <w:i/>
          <w:iCs/>
          <w:color w:val="000000" w:themeColor="text1"/>
        </w:rPr>
        <w:t>See</w:t>
      </w:r>
      <w:r w:rsidR="00142F87">
        <w:rPr>
          <w:i/>
          <w:iCs/>
          <w:color w:val="000000" w:themeColor="text1"/>
        </w:rPr>
        <w:t>, e.g.</w:t>
      </w:r>
      <w:r w:rsidR="00142F87" w:rsidRPr="00564984">
        <w:rPr>
          <w:color w:val="000000" w:themeColor="text1"/>
        </w:rPr>
        <w:t>,</w:t>
      </w:r>
      <w:r w:rsidRPr="00564984">
        <w:rPr>
          <w:color w:val="000000" w:themeColor="text1"/>
        </w:rPr>
        <w:t xml:space="preserve"> </w:t>
      </w:r>
      <w:r w:rsidR="000745E6">
        <w:rPr>
          <w:i/>
          <w:iCs/>
          <w:color w:val="000000" w:themeColor="text1"/>
        </w:rPr>
        <w:t>id.</w:t>
      </w:r>
      <w:r w:rsidR="00142F87" w:rsidRPr="00D222E6">
        <w:rPr>
          <w:color w:val="000000" w:themeColor="text1"/>
          <w:shd w:val="clear" w:color="auto" w:fill="FFFFFF"/>
        </w:rPr>
        <w:t xml:space="preserve"> at 3</w:t>
      </w:r>
      <w:r w:rsidR="00142F87">
        <w:rPr>
          <w:color w:val="000000" w:themeColor="text1"/>
          <w:shd w:val="clear" w:color="auto" w:fill="FFFFFF"/>
        </w:rPr>
        <w:t>17–18</w:t>
      </w:r>
      <w:r w:rsidR="00142F87" w:rsidRPr="00D222E6">
        <w:rPr>
          <w:color w:val="000000" w:themeColor="text1"/>
          <w:shd w:val="clear" w:color="auto" w:fill="FFFFFF"/>
        </w:rPr>
        <w:t xml:space="preserve"> (</w:t>
      </w:r>
      <w:r w:rsidR="00142F87">
        <w:rPr>
          <w:color w:val="000000" w:themeColor="text1"/>
          <w:shd w:val="clear" w:color="auto" w:fill="FFFFFF"/>
        </w:rPr>
        <w:t>arguing that the non-adversarial nature of bureaucracy could be beneficial</w:t>
      </w:r>
      <w:r w:rsidR="00142F87" w:rsidRPr="00D222E6">
        <w:rPr>
          <w:color w:val="000000" w:themeColor="text1"/>
          <w:shd w:val="clear" w:color="auto" w:fill="FFFFFF"/>
        </w:rPr>
        <w:t>)</w:t>
      </w:r>
      <w:r w:rsidR="00142F87">
        <w:rPr>
          <w:color w:val="000000" w:themeColor="text1"/>
          <w:shd w:val="clear" w:color="auto" w:fill="FFFFFF"/>
        </w:rPr>
        <w:t xml:space="preserve">; </w:t>
      </w:r>
      <w:r w:rsidR="00142F87" w:rsidRPr="00564984">
        <w:rPr>
          <w:i/>
          <w:iCs/>
          <w:color w:val="000000" w:themeColor="text1"/>
          <w:shd w:val="clear" w:color="auto" w:fill="FFFFFF"/>
        </w:rPr>
        <w:t>see also</w:t>
      </w:r>
      <w:r w:rsidR="00142F87">
        <w:rPr>
          <w:color w:val="000000" w:themeColor="text1"/>
          <w:shd w:val="clear" w:color="auto" w:fill="FFFFFF"/>
        </w:rPr>
        <w:t xml:space="preserve"> </w:t>
      </w:r>
      <w:r w:rsidRPr="00564984">
        <w:rPr>
          <w:i/>
          <w:iCs/>
          <w:color w:val="000000" w:themeColor="text1"/>
          <w:bdr w:val="none" w:sz="0" w:space="0" w:color="auto" w:frame="1"/>
        </w:rPr>
        <w:t>Courts in Name Only</w:t>
      </w:r>
      <w:r w:rsidRPr="00564984">
        <w:rPr>
          <w:color w:val="000000" w:themeColor="text1"/>
          <w:bdr w:val="none" w:sz="0" w:space="0" w:color="auto" w:frame="1"/>
        </w:rPr>
        <w:t xml:space="preserve">, </w:t>
      </w:r>
      <w:r w:rsidRPr="00564984">
        <w:rPr>
          <w:i/>
          <w:iCs/>
          <w:color w:val="000000" w:themeColor="text1"/>
          <w:bdr w:val="none" w:sz="0" w:space="0" w:color="auto" w:frame="1"/>
        </w:rPr>
        <w:t>supra</w:t>
      </w:r>
      <w:r w:rsidRPr="00564984">
        <w:rPr>
          <w:color w:val="000000" w:themeColor="text1"/>
          <w:bdr w:val="none" w:sz="0" w:space="0" w:color="auto" w:frame="1"/>
        </w:rPr>
        <w:t xml:space="preserve"> note </w:t>
      </w:r>
      <w:r w:rsidR="00EE1E92">
        <w:rPr>
          <w:szCs w:val="17"/>
        </w:rPr>
        <w:fldChar w:fldCharType="begin"/>
      </w:r>
      <w:r w:rsidR="00EE1E92">
        <w:rPr>
          <w:szCs w:val="17"/>
        </w:rPr>
        <w:instrText xml:space="preserve"> NOTEREF _Ref186561727 \h </w:instrText>
      </w:r>
      <w:r w:rsidR="001E6745">
        <w:rPr>
          <w:szCs w:val="17"/>
        </w:rPr>
        <w:instrText xml:space="preserve"> \* MERGEFORMAT </w:instrText>
      </w:r>
      <w:r w:rsidR="00EE1E92">
        <w:rPr>
          <w:szCs w:val="17"/>
        </w:rPr>
      </w:r>
      <w:r w:rsidR="00EE1E92">
        <w:rPr>
          <w:szCs w:val="17"/>
        </w:rPr>
        <w:fldChar w:fldCharType="separate"/>
      </w:r>
      <w:r w:rsidR="00102CC5">
        <w:rPr>
          <w:szCs w:val="17"/>
        </w:rPr>
        <w:t>28</w:t>
      </w:r>
      <w:r w:rsidR="00EE1E92">
        <w:rPr>
          <w:szCs w:val="17"/>
        </w:rPr>
        <w:fldChar w:fldCharType="end"/>
      </w:r>
      <w:r w:rsidRPr="00564984">
        <w:rPr>
          <w:color w:val="000000" w:themeColor="text1"/>
          <w:bdr w:val="none" w:sz="0" w:space="0" w:color="auto" w:frame="1"/>
        </w:rPr>
        <w:t xml:space="preserve">, at </w:t>
      </w:r>
      <w:r w:rsidRPr="00564984">
        <w:rPr>
          <w:color w:val="000000" w:themeColor="text1"/>
        </w:rPr>
        <w:t>9</w:t>
      </w:r>
      <w:r w:rsidR="00142F87">
        <w:rPr>
          <w:color w:val="000000" w:themeColor="text1"/>
        </w:rPr>
        <w:t>18</w:t>
      </w:r>
      <w:r w:rsidRPr="00564984">
        <w:rPr>
          <w:color w:val="000000" w:themeColor="text1"/>
        </w:rPr>
        <w:t>–</w:t>
      </w:r>
      <w:r w:rsidR="00142F87">
        <w:rPr>
          <w:color w:val="000000" w:themeColor="text1"/>
        </w:rPr>
        <w:t>19</w:t>
      </w:r>
      <w:r w:rsidRPr="00564984">
        <w:rPr>
          <w:color w:val="000000" w:themeColor="text1"/>
        </w:rPr>
        <w:t xml:space="preserve"> </w:t>
      </w:r>
      <w:r w:rsidRPr="00564984">
        <w:rPr>
          <w:color w:val="000000" w:themeColor="text1"/>
          <w:shd w:val="clear" w:color="auto" w:fill="FFFFFF"/>
        </w:rPr>
        <w:t>(</w:t>
      </w:r>
      <w:r w:rsidR="00142F87">
        <w:rPr>
          <w:color w:val="000000" w:themeColor="text1"/>
          <w:shd w:val="clear" w:color="auto" w:fill="FFFFFF"/>
        </w:rPr>
        <w:t xml:space="preserve">describing and critiquing </w:t>
      </w:r>
      <w:r w:rsidR="000745E6">
        <w:rPr>
          <w:color w:val="000000" w:themeColor="text1"/>
          <w:shd w:val="clear" w:color="auto" w:fill="FFFFFF"/>
        </w:rPr>
        <w:t xml:space="preserve">Professor Amit Jain’s </w:t>
      </w:r>
      <w:r w:rsidR="00142F87">
        <w:rPr>
          <w:color w:val="000000" w:themeColor="text1"/>
          <w:shd w:val="clear" w:color="auto" w:fill="FFFFFF"/>
        </w:rPr>
        <w:t>proposal)</w:t>
      </w:r>
      <w:r w:rsidRPr="00564984">
        <w:rPr>
          <w:color w:val="000000" w:themeColor="text1"/>
          <w:shd w:val="clear" w:color="auto" w:fill="FFFFFF"/>
        </w:rPr>
        <w:t>.</w:t>
      </w:r>
    </w:p>
  </w:footnote>
  <w:footnote w:id="138">
    <w:p w14:paraId="253988A8" w14:textId="28FF30D4" w:rsidR="000745E6" w:rsidRPr="001550FE" w:rsidRDefault="00EF1FA7" w:rsidP="00695136">
      <w:pPr>
        <w:pStyle w:val="FootNote"/>
      </w:pPr>
      <w:r w:rsidRPr="001E6745">
        <w:tab/>
      </w:r>
      <w:r w:rsidR="00D73279" w:rsidRPr="001E6745">
        <w:rPr>
          <w:rStyle w:val="NoteRefInNote"/>
        </w:rPr>
        <w:footnoteRef/>
      </w:r>
      <w:r w:rsidRPr="001E6745">
        <w:t>. </w:t>
      </w:r>
      <w:r w:rsidR="00142F87" w:rsidRPr="00EF1FA7">
        <w:rPr>
          <w:i/>
          <w:iCs/>
        </w:rPr>
        <w:t>See, e.g.</w:t>
      </w:r>
      <w:r w:rsidR="00142F87" w:rsidRPr="00EF1FA7">
        <w:t xml:space="preserve">, Holper, </w:t>
      </w:r>
      <w:r w:rsidR="00142F87" w:rsidRPr="001E6745">
        <w:rPr>
          <w:i/>
          <w:iCs/>
          <w:shd w:val="clear" w:color="auto" w:fill="FFFFFF"/>
        </w:rPr>
        <w:t>supra</w:t>
      </w:r>
      <w:r w:rsidR="00142F87" w:rsidRPr="001E6745">
        <w:rPr>
          <w:shd w:val="clear" w:color="auto" w:fill="FFFFFF"/>
        </w:rPr>
        <w:t xml:space="preserve"> note </w:t>
      </w:r>
      <w:r w:rsidR="00142F87" w:rsidRPr="001E6745">
        <w:rPr>
          <w:shd w:val="clear" w:color="auto" w:fill="FFFFFF"/>
        </w:rPr>
        <w:fldChar w:fldCharType="begin"/>
      </w:r>
      <w:r w:rsidR="00142F87" w:rsidRPr="001E6745">
        <w:rPr>
          <w:shd w:val="clear" w:color="auto" w:fill="FFFFFF"/>
        </w:rPr>
        <w:instrText xml:space="preserve"> NOTEREF _Ref177479486 \h  \* MERGEFORMAT </w:instrText>
      </w:r>
      <w:r w:rsidR="00142F87" w:rsidRPr="001E6745">
        <w:rPr>
          <w:shd w:val="clear" w:color="auto" w:fill="FFFFFF"/>
        </w:rPr>
      </w:r>
      <w:r w:rsidR="00142F87" w:rsidRPr="001E6745">
        <w:rPr>
          <w:shd w:val="clear" w:color="auto" w:fill="FFFFFF"/>
        </w:rPr>
        <w:fldChar w:fldCharType="separate"/>
      </w:r>
      <w:r w:rsidR="00102CC5">
        <w:rPr>
          <w:shd w:val="clear" w:color="auto" w:fill="FFFFFF"/>
        </w:rPr>
        <w:t>9</w:t>
      </w:r>
      <w:r w:rsidR="00142F87" w:rsidRPr="001E6745">
        <w:rPr>
          <w:shd w:val="clear" w:color="auto" w:fill="FFFFFF"/>
        </w:rPr>
        <w:fldChar w:fldCharType="end"/>
      </w:r>
      <w:r w:rsidR="00142F87" w:rsidRPr="001E6745">
        <w:rPr>
          <w:shd w:val="clear" w:color="auto" w:fill="FFFFFF"/>
        </w:rPr>
        <w:t xml:space="preserve">, at 1078 (proposing that detention decisions </w:t>
      </w:r>
      <w:r w:rsidR="000745E6" w:rsidRPr="001E6745">
        <w:rPr>
          <w:shd w:val="clear" w:color="auto" w:fill="FFFFFF"/>
        </w:rPr>
        <w:t xml:space="preserve">should </w:t>
      </w:r>
      <w:r w:rsidR="00142F87" w:rsidRPr="001E6745">
        <w:rPr>
          <w:shd w:val="clear" w:color="auto" w:fill="FFFFFF"/>
        </w:rPr>
        <w:t xml:space="preserve">be made by a federal magistrate judge, not an IJ, and reviewed by an Article III judge); </w:t>
      </w:r>
      <w:r w:rsidR="00142F87" w:rsidRPr="00EF1FA7">
        <w:t>Denise Gilman,</w:t>
      </w:r>
      <w:r w:rsidR="00D73279" w:rsidRPr="00EF1FA7">
        <w:t xml:space="preserve"> </w:t>
      </w:r>
      <w:r w:rsidR="00D73279" w:rsidRPr="00EF1FA7">
        <w:rPr>
          <w:i/>
          <w:iCs/>
        </w:rPr>
        <w:t>Making Protection Unexceptional: A Reconceptualization of the U.S. Asylum System</w:t>
      </w:r>
      <w:r w:rsidR="00D73279" w:rsidRPr="00EF1FA7">
        <w:t xml:space="preserve">, 55 </w:t>
      </w:r>
      <w:r w:rsidR="00D73279" w:rsidRPr="00EF1FA7">
        <w:rPr>
          <w:smallCaps/>
        </w:rPr>
        <w:t>Loy</w:t>
      </w:r>
      <w:r w:rsidR="000745E6" w:rsidRPr="00EF1FA7">
        <w:rPr>
          <w:smallCaps/>
        </w:rPr>
        <w:t>.</w:t>
      </w:r>
      <w:r w:rsidR="00D73279" w:rsidRPr="00EF1FA7">
        <w:rPr>
          <w:smallCaps/>
        </w:rPr>
        <w:t xml:space="preserve"> U. Chi. L.J.</w:t>
      </w:r>
      <w:r w:rsidR="00142F87" w:rsidRPr="00EF1FA7">
        <w:rPr>
          <w:smallCaps/>
        </w:rPr>
        <w:t xml:space="preserve"> 1</w:t>
      </w:r>
      <w:r w:rsidR="00D73279" w:rsidRPr="00EF1FA7">
        <w:t xml:space="preserve">, </w:t>
      </w:r>
      <w:r w:rsidR="00142F87" w:rsidRPr="00EF1FA7">
        <w:t>65</w:t>
      </w:r>
      <w:r w:rsidR="00D73279" w:rsidRPr="00EF1FA7">
        <w:t xml:space="preserve"> (2023)</w:t>
      </w:r>
      <w:r w:rsidR="00142F87" w:rsidRPr="00EF1FA7">
        <w:t xml:space="preserve"> (arguing that the “</w:t>
      </w:r>
      <w:r w:rsidR="000745E6" w:rsidRPr="00EF1FA7">
        <w:t xml:space="preserve">U.S. </w:t>
      </w:r>
      <w:r w:rsidR="00142F87" w:rsidRPr="00EF1FA7">
        <w:t>asylum system should become significantly more expansive”).</w:t>
      </w:r>
    </w:p>
  </w:footnote>
  <w:footnote w:id="139">
    <w:p w14:paraId="07B4A8F3" w14:textId="3C278959" w:rsidR="006D3942" w:rsidRPr="006D3942" w:rsidRDefault="006D3942" w:rsidP="00695136">
      <w:pPr>
        <w:pStyle w:val="FootNote"/>
      </w:pPr>
      <w:r w:rsidRPr="006D3942">
        <w:tab/>
      </w:r>
      <w:r w:rsidRPr="006D3942">
        <w:rPr>
          <w:rStyle w:val="NoteRefInNote"/>
        </w:rPr>
        <w:footnoteRef/>
      </w:r>
      <w:r w:rsidRPr="006D3942">
        <w:t>. </w:t>
      </w:r>
      <w:r w:rsidR="00142F87" w:rsidRPr="00564984">
        <w:rPr>
          <w:i/>
          <w:iCs/>
        </w:rPr>
        <w:t>See</w:t>
      </w:r>
      <w:r w:rsidR="00155F6D">
        <w:rPr>
          <w:i/>
          <w:iCs/>
        </w:rPr>
        <w:t>, e.g.</w:t>
      </w:r>
      <w:r w:rsidR="00155F6D">
        <w:t>,</w:t>
      </w:r>
      <w:r w:rsidR="00142F87">
        <w:t xml:space="preserve"> </w:t>
      </w:r>
      <w:r w:rsidRPr="006D3942">
        <w:t xml:space="preserve">Aline Barros, </w:t>
      </w:r>
      <w:r w:rsidRPr="006D3942">
        <w:rPr>
          <w:i/>
          <w:iCs/>
        </w:rPr>
        <w:t>Bill Aims to Remove US Immigration Courts from Executive Branch</w:t>
      </w:r>
      <w:r w:rsidRPr="006D3942">
        <w:t xml:space="preserve">, </w:t>
      </w:r>
      <w:r w:rsidRPr="006D3942">
        <w:rPr>
          <w:smallCaps/>
        </w:rPr>
        <w:t>V</w:t>
      </w:r>
      <w:r w:rsidR="00142F87">
        <w:rPr>
          <w:smallCaps/>
        </w:rPr>
        <w:t>OA</w:t>
      </w:r>
      <w:r w:rsidRPr="006D3942">
        <w:t xml:space="preserve"> (Feb. 5, 2022, 8:48 AM), https://www.voanews.com/a/bill-aims-to-</w:t>
      </w:r>
      <w:r w:rsidR="00155F6D">
        <w:br/>
      </w:r>
      <w:r w:rsidRPr="006D3942">
        <w:t>remove-us-immigration-courts-from-executive-branch-/6427304.html</w:t>
      </w:r>
      <w:r w:rsidR="00024FD4">
        <w:t xml:space="preserve"> [https://perma.cc/Q9GY-QN9G]</w:t>
      </w:r>
      <w:r w:rsidR="00142F87">
        <w:t xml:space="preserve"> (discussing partisan opposition to the </w:t>
      </w:r>
      <w:r w:rsidR="00EB4898">
        <w:t>Real Courts, Rule of Law Act of 2022</w:t>
      </w:r>
      <w:r w:rsidR="00142F87">
        <w:t>)</w:t>
      </w:r>
      <w:r w:rsidRPr="006D3942">
        <w:t>.</w:t>
      </w:r>
    </w:p>
  </w:footnote>
  <w:footnote w:id="140">
    <w:p w14:paraId="1D67DB02" w14:textId="7F4AC8BF" w:rsidR="00142F87" w:rsidRPr="006D3942" w:rsidRDefault="006D3942" w:rsidP="00695136">
      <w:pPr>
        <w:pStyle w:val="FootNote"/>
      </w:pPr>
      <w:r w:rsidRPr="006D3942">
        <w:tab/>
      </w:r>
      <w:r w:rsidRPr="006D3942">
        <w:rPr>
          <w:rStyle w:val="NoteRefInNote"/>
        </w:rPr>
        <w:footnoteRef/>
      </w:r>
      <w:r w:rsidRPr="006D3942">
        <w:t xml:space="preserve">. Birdsong, </w:t>
      </w:r>
      <w:r w:rsidRPr="006D3942">
        <w:rPr>
          <w:i/>
          <w:iCs/>
        </w:rPr>
        <w:t>supra</w:t>
      </w:r>
      <w:r w:rsidRPr="006D3942">
        <w:t xml:space="preserve"> note </w:t>
      </w:r>
      <w:r w:rsidR="00152D2B">
        <w:fldChar w:fldCharType="begin"/>
      </w:r>
      <w:r w:rsidR="00152D2B">
        <w:instrText xml:space="preserve"> NOTEREF _Ref177479237 \h </w:instrText>
      </w:r>
      <w:r w:rsidR="001E6745">
        <w:instrText xml:space="preserve"> \* MERGEFORMAT </w:instrText>
      </w:r>
      <w:r w:rsidR="00152D2B">
        <w:fldChar w:fldCharType="separate"/>
      </w:r>
      <w:r w:rsidR="00102CC5">
        <w:t>33</w:t>
      </w:r>
      <w:r w:rsidR="00152D2B">
        <w:fldChar w:fldCharType="end"/>
      </w:r>
      <w:r w:rsidRPr="006D3942">
        <w:t>, at 46–47</w:t>
      </w:r>
      <w:r w:rsidR="00EB4898">
        <w:t>.</w:t>
      </w:r>
      <w:r w:rsidR="00C20337">
        <w:t xml:space="preserve"> </w:t>
      </w:r>
    </w:p>
  </w:footnote>
  <w:footnote w:id="141">
    <w:p w14:paraId="0EA11BF8" w14:textId="4F6DBC51" w:rsidR="006D3942" w:rsidRPr="006D3942" w:rsidRDefault="006D3942" w:rsidP="00695136">
      <w:pPr>
        <w:pStyle w:val="FootNote"/>
      </w:pPr>
      <w:r w:rsidRPr="006D3942">
        <w:rPr>
          <w:iCs/>
        </w:rPr>
        <w:tab/>
      </w:r>
      <w:r w:rsidRPr="006D3942">
        <w:rPr>
          <w:rStyle w:val="NoteRefInNote"/>
        </w:rPr>
        <w:footnoteRef/>
      </w:r>
      <w:r w:rsidRPr="006D3942">
        <w:rPr>
          <w:iCs/>
        </w:rPr>
        <w:t>. </w:t>
      </w:r>
      <w:r w:rsidR="00EB4898">
        <w:rPr>
          <w:i/>
          <w:iCs/>
        </w:rPr>
        <w:t>Id.</w:t>
      </w:r>
    </w:p>
  </w:footnote>
  <w:footnote w:id="142">
    <w:p w14:paraId="31F91621" w14:textId="058905A0" w:rsidR="006D3942" w:rsidRPr="006D3942" w:rsidRDefault="006D3942" w:rsidP="00695136">
      <w:pPr>
        <w:pStyle w:val="FootNote"/>
      </w:pPr>
      <w:r w:rsidRPr="006D3942">
        <w:rPr>
          <w:iCs/>
        </w:rPr>
        <w:tab/>
      </w:r>
      <w:r w:rsidRPr="006D3942">
        <w:rPr>
          <w:rStyle w:val="NoteRefInNote"/>
        </w:rPr>
        <w:footnoteRef/>
      </w:r>
      <w:r w:rsidRPr="006D3942">
        <w:rPr>
          <w:iCs/>
        </w:rPr>
        <w:t>. </w:t>
      </w:r>
      <w:r w:rsidR="00C20337" w:rsidRPr="006D3942">
        <w:t>Pasvogel</w:t>
      </w:r>
      <w:r w:rsidR="00C20337">
        <w:t xml:space="preserve">, </w:t>
      </w:r>
      <w:r w:rsidR="00C20337" w:rsidRPr="00D222E6">
        <w:rPr>
          <w:i/>
          <w:iCs/>
        </w:rPr>
        <w:t>supra</w:t>
      </w:r>
      <w:r w:rsidR="00C20337">
        <w:t xml:space="preserve"> note </w:t>
      </w:r>
      <w:r w:rsidR="00C20337">
        <w:fldChar w:fldCharType="begin"/>
      </w:r>
      <w:r w:rsidR="00C20337">
        <w:instrText xml:space="preserve"> NOTEREF _Ref181456302 \h </w:instrText>
      </w:r>
      <w:r w:rsidR="001E6745">
        <w:instrText xml:space="preserve"> \* MERGEFORMAT </w:instrText>
      </w:r>
      <w:r w:rsidR="00C20337">
        <w:fldChar w:fldCharType="separate"/>
      </w:r>
      <w:r w:rsidR="00102CC5">
        <w:t>17</w:t>
      </w:r>
      <w:r w:rsidR="00C20337">
        <w:fldChar w:fldCharType="end"/>
      </w:r>
      <w:r w:rsidR="00C20337">
        <w:t>, at</w:t>
      </w:r>
      <w:r w:rsidR="00C20337" w:rsidRPr="006D3942">
        <w:t xml:space="preserve"> 13</w:t>
      </w:r>
      <w:r w:rsidRPr="006D3942">
        <w:t>.</w:t>
      </w:r>
    </w:p>
  </w:footnote>
  <w:footnote w:id="143">
    <w:p w14:paraId="1E429676" w14:textId="41171C23"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 xml:space="preserve">Id. </w:t>
      </w:r>
    </w:p>
  </w:footnote>
  <w:footnote w:id="144">
    <w:p w14:paraId="4DFFF2C5" w14:textId="0564E7ED"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 xml:space="preserve">Id. </w:t>
      </w:r>
      <w:r w:rsidRPr="006D3942">
        <w:t>at 13–14.</w:t>
      </w:r>
    </w:p>
  </w:footnote>
  <w:footnote w:id="145">
    <w:p w14:paraId="03234483" w14:textId="74D38EDB"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at 14 (citing </w:t>
      </w:r>
      <w:r w:rsidR="00C20337" w:rsidRPr="00564984">
        <w:rPr>
          <w:smallCaps/>
        </w:rPr>
        <w:t>Comm’n on the Bankr. L. of the U.S.</w:t>
      </w:r>
      <w:r w:rsidR="00C20337">
        <w:t xml:space="preserve">, </w:t>
      </w:r>
      <w:r w:rsidRPr="006D3942">
        <w:rPr>
          <w:smallCaps/>
        </w:rPr>
        <w:t>Report of the Commission on the Bankruptcy Laws of the United States</w:t>
      </w:r>
      <w:r w:rsidRPr="006D3942">
        <w:t>, H.R.</w:t>
      </w:r>
      <w:r>
        <w:t xml:space="preserve"> </w:t>
      </w:r>
      <w:r w:rsidRPr="006D3942">
        <w:t xml:space="preserve">Doc. No. 93-137, pt. </w:t>
      </w:r>
      <w:r w:rsidR="00C20337">
        <w:t>1</w:t>
      </w:r>
      <w:r w:rsidRPr="006D3942">
        <w:t>,</w:t>
      </w:r>
      <w:r w:rsidR="00C20337">
        <w:t xml:space="preserve"> at</w:t>
      </w:r>
      <w:r w:rsidRPr="006D3942">
        <w:t xml:space="preserve"> </w:t>
      </w:r>
      <w:r w:rsidR="00C20337">
        <w:t>5–6</w:t>
      </w:r>
      <w:r w:rsidRPr="006D3942">
        <w:t xml:space="preserve"> (1973)).</w:t>
      </w:r>
    </w:p>
  </w:footnote>
  <w:footnote w:id="146">
    <w:p w14:paraId="7E22A4EA" w14:textId="7B49042C" w:rsidR="006D3942" w:rsidRPr="006D3942" w:rsidRDefault="006D3942" w:rsidP="00695136">
      <w:pPr>
        <w:pStyle w:val="FootNote"/>
      </w:pPr>
      <w:r w:rsidRPr="006D3942">
        <w:tab/>
      </w:r>
      <w:r w:rsidRPr="006D3942">
        <w:rPr>
          <w:rStyle w:val="NoteRefInNote"/>
        </w:rPr>
        <w:footnoteRef/>
      </w:r>
      <w:r w:rsidRPr="006D3942">
        <w:t>. </w:t>
      </w:r>
      <w:r w:rsidR="00EB4898">
        <w:t xml:space="preserve">Geraldine Mund, </w:t>
      </w:r>
      <w:r w:rsidR="00EB4898">
        <w:rPr>
          <w:i/>
          <w:iCs/>
        </w:rPr>
        <w:t>Appointed or Anointed: Judges, Congress, and the Passage of the Bankruptcy Act of 1978</w:t>
      </w:r>
      <w:r w:rsidR="00EB4898">
        <w:t xml:space="preserve">, 81 </w:t>
      </w:r>
      <w:r w:rsidR="00EB4898">
        <w:rPr>
          <w:smallCaps/>
        </w:rPr>
        <w:t>Am. Bankr. L.J. 1, 3 (2007).</w:t>
      </w:r>
    </w:p>
  </w:footnote>
  <w:footnote w:id="147">
    <w:p w14:paraId="181E05EF" w14:textId="1308F116" w:rsidR="006D3942" w:rsidRPr="00C20337"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C20337">
        <w:rPr>
          <w:i/>
          <w:iCs/>
        </w:rPr>
        <w:t xml:space="preserve"> </w:t>
      </w:r>
      <w:r w:rsidR="00C20337" w:rsidRPr="00564984">
        <w:t xml:space="preserve">at </w:t>
      </w:r>
      <w:r w:rsidR="00C20337">
        <w:t xml:space="preserve">3, </w:t>
      </w:r>
      <w:r w:rsidR="00C20337" w:rsidRPr="00564984">
        <w:t>15.</w:t>
      </w:r>
    </w:p>
  </w:footnote>
  <w:footnote w:id="148">
    <w:p w14:paraId="04B58F96" w14:textId="61CD71B2" w:rsidR="006D3942" w:rsidRPr="00C20337"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C20337">
        <w:rPr>
          <w:i/>
          <w:iCs/>
        </w:rPr>
        <w:t xml:space="preserve"> </w:t>
      </w:r>
      <w:r w:rsidR="00C20337" w:rsidRPr="00564984">
        <w:t>at 3.</w:t>
      </w:r>
    </w:p>
  </w:footnote>
  <w:footnote w:id="149">
    <w:p w14:paraId="1E93B296" w14:textId="6A915D6F" w:rsidR="006D3942" w:rsidRPr="006D3942" w:rsidRDefault="006D3942" w:rsidP="00695136">
      <w:pPr>
        <w:pStyle w:val="FootNote"/>
      </w:pPr>
      <w:r w:rsidRPr="006D3942">
        <w:tab/>
      </w:r>
      <w:r w:rsidRPr="006D3942">
        <w:rPr>
          <w:rStyle w:val="NoteRefInNote"/>
        </w:rPr>
        <w:footnoteRef/>
      </w:r>
      <w:r w:rsidRPr="006D3942">
        <w:t xml:space="preserve">. Eric A. Posner, </w:t>
      </w:r>
      <w:r w:rsidRPr="006D3942">
        <w:rPr>
          <w:i/>
          <w:iCs/>
        </w:rPr>
        <w:t>The Political Economy of the Bankruptcy Reform Act of 1978</w:t>
      </w:r>
      <w:r w:rsidRPr="006D3942">
        <w:t xml:space="preserve">, 96 </w:t>
      </w:r>
      <w:r w:rsidRPr="006D3942">
        <w:rPr>
          <w:smallCaps/>
        </w:rPr>
        <w:t>Mich. L. Rev.</w:t>
      </w:r>
      <w:r w:rsidRPr="006D3942">
        <w:t xml:space="preserve"> 47, 61–62 (1997).</w:t>
      </w:r>
    </w:p>
  </w:footnote>
  <w:footnote w:id="150">
    <w:p w14:paraId="0C1BDED8" w14:textId="7BD76525" w:rsidR="006D3942" w:rsidRPr="006D3942" w:rsidRDefault="006D3942" w:rsidP="00695136">
      <w:pPr>
        <w:pStyle w:val="FootNote"/>
      </w:pPr>
      <w:r w:rsidRPr="006D3942">
        <w:tab/>
      </w:r>
      <w:r w:rsidRPr="006D3942">
        <w:rPr>
          <w:rStyle w:val="NoteRefInNote"/>
        </w:rPr>
        <w:footnoteRef/>
      </w:r>
      <w:r w:rsidRPr="006D3942">
        <w:t xml:space="preserve">. Mund, </w:t>
      </w:r>
      <w:r w:rsidRPr="006D3942">
        <w:rPr>
          <w:i/>
          <w:iCs/>
        </w:rPr>
        <w:t>supra</w:t>
      </w:r>
      <w:r w:rsidRPr="006D3942">
        <w:t xml:space="preserve"> note</w:t>
      </w:r>
      <w:r w:rsidR="001D617A">
        <w:t xml:space="preserve"> 14</w:t>
      </w:r>
      <w:r w:rsidR="00534DC5">
        <w:t>6</w:t>
      </w:r>
      <w:r w:rsidRPr="006D3942">
        <w:t>, at 3.</w:t>
      </w:r>
    </w:p>
  </w:footnote>
  <w:footnote w:id="151">
    <w:p w14:paraId="628728F4" w14:textId="37357FD6"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52">
    <w:p w14:paraId="52325F4A" w14:textId="2B712FF3"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at </w:t>
      </w:r>
      <w:r w:rsidR="00C20337">
        <w:t>3–</w:t>
      </w:r>
      <w:r w:rsidRPr="006D3942">
        <w:t>4.</w:t>
      </w:r>
    </w:p>
  </w:footnote>
  <w:footnote w:id="153">
    <w:p w14:paraId="56F1DCAA" w14:textId="1FEE1072" w:rsidR="006D3942" w:rsidRPr="00C20337"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C20337">
        <w:rPr>
          <w:i/>
          <w:iCs/>
        </w:rPr>
        <w:t xml:space="preserve"> </w:t>
      </w:r>
      <w:r w:rsidR="00C20337" w:rsidRPr="00564984">
        <w:t>at 4.</w:t>
      </w:r>
    </w:p>
  </w:footnote>
  <w:footnote w:id="154">
    <w:p w14:paraId="207CE797" w14:textId="5FCDD8DC" w:rsidR="006D3942" w:rsidRPr="006D3942" w:rsidRDefault="006D3942" w:rsidP="00695136">
      <w:pPr>
        <w:pStyle w:val="FootNote"/>
      </w:pPr>
      <w:r w:rsidRPr="006D3942">
        <w:tab/>
      </w:r>
      <w:r w:rsidRPr="006D3942">
        <w:rPr>
          <w:rStyle w:val="NoteRefInNote"/>
        </w:rPr>
        <w:footnoteRef/>
      </w:r>
      <w:r w:rsidRPr="006D3942">
        <w:t>. </w:t>
      </w:r>
      <w:r w:rsidR="00C20337" w:rsidRPr="00564984">
        <w:rPr>
          <w:i/>
          <w:iCs/>
        </w:rPr>
        <w:t>Id.</w:t>
      </w:r>
      <w:r w:rsidRPr="006D3942">
        <w:t xml:space="preserve"> at </w:t>
      </w:r>
      <w:r w:rsidR="00C20337">
        <w:t xml:space="preserve">4, </w:t>
      </w:r>
      <w:r w:rsidRPr="006D3942">
        <w:t>15.</w:t>
      </w:r>
    </w:p>
  </w:footnote>
  <w:footnote w:id="155">
    <w:p w14:paraId="48FD5ACA" w14:textId="0511B30E" w:rsidR="006D3942" w:rsidRPr="006D3942" w:rsidRDefault="006D3942" w:rsidP="00695136">
      <w:pPr>
        <w:pStyle w:val="FootNote"/>
      </w:pPr>
      <w:r w:rsidRPr="006D3942">
        <w:rPr>
          <w:iCs/>
        </w:rPr>
        <w:tab/>
      </w:r>
      <w:r w:rsidRPr="006D3942">
        <w:rPr>
          <w:rStyle w:val="NoteRefInNote"/>
        </w:rPr>
        <w:footnoteRef/>
      </w:r>
      <w:r w:rsidRPr="006D3942">
        <w:rPr>
          <w:iCs/>
        </w:rPr>
        <w:t>. </w:t>
      </w:r>
      <w:r w:rsidR="00C20337">
        <w:rPr>
          <w:i/>
          <w:iCs/>
        </w:rPr>
        <w:t>See i</w:t>
      </w:r>
      <w:r w:rsidRPr="006D3942">
        <w:rPr>
          <w:i/>
          <w:iCs/>
        </w:rPr>
        <w:t>d</w:t>
      </w:r>
      <w:r w:rsidRPr="006D3942">
        <w:t>. at 4</w:t>
      </w:r>
      <w:r w:rsidR="00B41359">
        <w:t>–</w:t>
      </w:r>
      <w:r w:rsidR="00C20337">
        <w:t xml:space="preserve">5 (describing the increase in advocacy by referees concerned about salary, lack of resources, and “exclusion from the decision-making process”); </w:t>
      </w:r>
      <w:r w:rsidR="00C20337" w:rsidRPr="00564984">
        <w:rPr>
          <w:i/>
          <w:iCs/>
        </w:rPr>
        <w:t>see also</w:t>
      </w:r>
      <w:r w:rsidR="00C20337">
        <w:t xml:space="preserve"> </w:t>
      </w:r>
      <w:r w:rsidR="00C20337" w:rsidRPr="006D3942">
        <w:t xml:space="preserve">Troy A. McKenzie, </w:t>
      </w:r>
      <w:r w:rsidR="00C20337" w:rsidRPr="006D3942">
        <w:rPr>
          <w:i/>
          <w:iCs/>
        </w:rPr>
        <w:t>Judicial Independence, Autonomy, and the Bankruptcy Courts</w:t>
      </w:r>
      <w:r w:rsidR="00C20337" w:rsidRPr="006D3942">
        <w:t xml:space="preserve">, 62 </w:t>
      </w:r>
      <w:r w:rsidR="00C20337" w:rsidRPr="006D3942">
        <w:rPr>
          <w:smallCaps/>
        </w:rPr>
        <w:t>Stan. L. Rev</w:t>
      </w:r>
      <w:r w:rsidR="00C20337" w:rsidRPr="006D3942">
        <w:t>. 747, 75</w:t>
      </w:r>
      <w:r w:rsidR="00C20337">
        <w:t>9</w:t>
      </w:r>
      <w:r w:rsidR="00C20337" w:rsidRPr="006D3942">
        <w:t xml:space="preserve"> (2010)</w:t>
      </w:r>
      <w:r w:rsidR="00C20337">
        <w:t xml:space="preserve"> (discussing the push for a more prestigious bankruptcy court).</w:t>
      </w:r>
    </w:p>
  </w:footnote>
  <w:footnote w:id="156">
    <w:p w14:paraId="6135C3B0" w14:textId="1150257E" w:rsidR="006D3942" w:rsidRPr="006D3942" w:rsidRDefault="006D3942" w:rsidP="00695136">
      <w:pPr>
        <w:pStyle w:val="FootNote"/>
      </w:pPr>
      <w:r w:rsidRPr="006D3942">
        <w:tab/>
      </w:r>
      <w:r w:rsidRPr="006D3942">
        <w:rPr>
          <w:rStyle w:val="NoteRefInNote"/>
        </w:rPr>
        <w:footnoteRef/>
      </w:r>
      <w:r w:rsidRPr="006D3942">
        <w:t xml:space="preserve">. Mund, </w:t>
      </w:r>
      <w:r w:rsidRPr="006D3942">
        <w:rPr>
          <w:i/>
          <w:iCs/>
        </w:rPr>
        <w:t>supra</w:t>
      </w:r>
      <w:r w:rsidRPr="006D3942">
        <w:t xml:space="preserve"> note</w:t>
      </w:r>
      <w:r w:rsidR="00EB4898">
        <w:t xml:space="preserve"> </w:t>
      </w:r>
      <w:r w:rsidR="00210803">
        <w:t>14</w:t>
      </w:r>
      <w:r w:rsidR="00534DC5">
        <w:t>6</w:t>
      </w:r>
      <w:r w:rsidRPr="006D3942">
        <w:t>, at 1</w:t>
      </w:r>
      <w:r w:rsidR="00C20337">
        <w:t>7</w:t>
      </w:r>
      <w:r w:rsidR="00B41359">
        <w:t>–</w:t>
      </w:r>
      <w:r w:rsidRPr="006D3942">
        <w:t>20.</w:t>
      </w:r>
    </w:p>
  </w:footnote>
  <w:footnote w:id="157">
    <w:p w14:paraId="7C996670" w14:textId="4ABB1FB9"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t xml:space="preserve">McKenzie, </w:t>
      </w:r>
      <w:r w:rsidRPr="006D3942">
        <w:rPr>
          <w:i/>
          <w:iCs/>
        </w:rPr>
        <w:t>supra</w:t>
      </w:r>
      <w:r w:rsidRPr="006D3942">
        <w:t xml:space="preserve"> note</w:t>
      </w:r>
      <w:r w:rsidR="00210803">
        <w:t xml:space="preserve"> 15</w:t>
      </w:r>
      <w:r w:rsidR="00534DC5">
        <w:t>5</w:t>
      </w:r>
      <w:r w:rsidR="00B41359">
        <w:t>,</w:t>
      </w:r>
      <w:r w:rsidRPr="006D3942">
        <w:t xml:space="preserve"> at 758.</w:t>
      </w:r>
    </w:p>
  </w:footnote>
  <w:footnote w:id="158">
    <w:p w14:paraId="4DA6A540" w14:textId="07BCEAF4" w:rsidR="006D3942" w:rsidRPr="006D3942" w:rsidRDefault="006D3942" w:rsidP="00695136">
      <w:pPr>
        <w:pStyle w:val="FootNote"/>
      </w:pPr>
      <w:r w:rsidRPr="006D3942">
        <w:tab/>
      </w:r>
      <w:r w:rsidRPr="006D3942">
        <w:rPr>
          <w:rStyle w:val="NoteRefInNote"/>
        </w:rPr>
        <w:footnoteRef/>
      </w:r>
      <w:r w:rsidRPr="006D3942">
        <w:t xml:space="preserve">. Posner, </w:t>
      </w:r>
      <w:r w:rsidRPr="006D3942">
        <w:rPr>
          <w:i/>
          <w:iCs/>
        </w:rPr>
        <w:t>supra</w:t>
      </w:r>
      <w:r w:rsidRPr="006D3942">
        <w:t xml:space="preserve"> note</w:t>
      </w:r>
      <w:r w:rsidR="00210803">
        <w:t xml:space="preserve"> 14</w:t>
      </w:r>
      <w:r w:rsidR="008A00D8">
        <w:t>9</w:t>
      </w:r>
      <w:r w:rsidRPr="006D3942">
        <w:t>, at 62.</w:t>
      </w:r>
    </w:p>
  </w:footnote>
  <w:footnote w:id="159">
    <w:p w14:paraId="650CD6D7" w14:textId="758E57F2" w:rsidR="006D3942" w:rsidRPr="006D3942" w:rsidRDefault="006D3942" w:rsidP="00695136">
      <w:pPr>
        <w:pStyle w:val="FootNote"/>
      </w:pPr>
      <w:r w:rsidRPr="006D3942">
        <w:tab/>
      </w:r>
      <w:r w:rsidRPr="006D3942">
        <w:rPr>
          <w:rStyle w:val="NoteRefInNote"/>
        </w:rPr>
        <w:footnoteRef/>
      </w:r>
      <w:r w:rsidRPr="006D3942">
        <w:t>. </w:t>
      </w:r>
      <w:r w:rsidR="00EB4898">
        <w:rPr>
          <w:i/>
          <w:iCs/>
        </w:rPr>
        <w:t xml:space="preserve">Id. </w:t>
      </w:r>
      <w:r w:rsidR="00EB4898">
        <w:t xml:space="preserve">at 61–62; </w:t>
      </w:r>
      <w:r w:rsidRPr="006D3942">
        <w:t xml:space="preserve">McKenzie, </w:t>
      </w:r>
      <w:r w:rsidRPr="001E6745">
        <w:rPr>
          <w:i/>
          <w:iCs/>
        </w:rPr>
        <w:t>supra</w:t>
      </w:r>
      <w:r w:rsidRPr="006D3942">
        <w:t xml:space="preserve"> note</w:t>
      </w:r>
      <w:r w:rsidR="00E95185">
        <w:t xml:space="preserve"> 15</w:t>
      </w:r>
      <w:r w:rsidR="00534DC5">
        <w:t>5</w:t>
      </w:r>
      <w:r w:rsidR="00B41359">
        <w:t>,</w:t>
      </w:r>
      <w:r w:rsidRPr="006D3942">
        <w:t xml:space="preserve"> at 758.</w:t>
      </w:r>
    </w:p>
  </w:footnote>
  <w:footnote w:id="160">
    <w:p w14:paraId="28AF0B7D" w14:textId="70D0DFCA" w:rsidR="006D3942" w:rsidRPr="006D3942" w:rsidRDefault="006D3942" w:rsidP="00695136">
      <w:pPr>
        <w:pStyle w:val="FootNote"/>
      </w:pPr>
      <w:r w:rsidRPr="006D3942">
        <w:rPr>
          <w:iCs/>
        </w:rPr>
        <w:tab/>
      </w:r>
      <w:r w:rsidRPr="006D3942">
        <w:rPr>
          <w:rStyle w:val="NoteRefInNote"/>
        </w:rPr>
        <w:footnoteRef/>
      </w:r>
      <w:r w:rsidRPr="006D3942">
        <w:rPr>
          <w:iCs/>
        </w:rPr>
        <w:t>. </w:t>
      </w:r>
      <w:r w:rsidR="00E95185" w:rsidRPr="001E6745">
        <w:rPr>
          <w:i/>
        </w:rPr>
        <w:t xml:space="preserve">See </w:t>
      </w:r>
      <w:r w:rsidR="00345BEE" w:rsidRPr="006D3942">
        <w:t xml:space="preserve">McKenzie, </w:t>
      </w:r>
      <w:r w:rsidR="00345BEE" w:rsidRPr="001E6745">
        <w:rPr>
          <w:i/>
          <w:iCs/>
        </w:rPr>
        <w:t>supra</w:t>
      </w:r>
      <w:r w:rsidR="00345BEE" w:rsidRPr="006D3942">
        <w:t xml:space="preserve"> note</w:t>
      </w:r>
      <w:r w:rsidR="00E95185">
        <w:t xml:space="preserve"> 15</w:t>
      </w:r>
      <w:r w:rsidR="00534DC5">
        <w:t>5</w:t>
      </w:r>
      <w:r w:rsidR="00345BEE">
        <w:t>,</w:t>
      </w:r>
      <w:r w:rsidR="00345BEE" w:rsidRPr="006D3942">
        <w:t xml:space="preserve"> at 758</w:t>
      </w:r>
      <w:r w:rsidR="00345BEE">
        <w:t>–59</w:t>
      </w:r>
      <w:r w:rsidR="00345BEE" w:rsidDel="00345BEE">
        <w:rPr>
          <w:i/>
          <w:iCs/>
        </w:rPr>
        <w:t xml:space="preserve"> </w:t>
      </w:r>
      <w:r w:rsidR="00DD2496">
        <w:t>(discussing criticisms of the bankruptcy system</w:t>
      </w:r>
      <w:r w:rsidR="00E95185">
        <w:t>, including the “low status” of bankruptcy judges</w:t>
      </w:r>
      <w:r w:rsidR="00DD2496">
        <w:t>)</w:t>
      </w:r>
      <w:r w:rsidRPr="006D3942">
        <w:t>.</w:t>
      </w:r>
    </w:p>
  </w:footnote>
  <w:footnote w:id="161">
    <w:p w14:paraId="0630D8F4" w14:textId="64CEB438" w:rsidR="006D3942" w:rsidRPr="006D3942" w:rsidRDefault="006D3942" w:rsidP="00695136">
      <w:pPr>
        <w:pStyle w:val="FootNote"/>
      </w:pPr>
      <w:r w:rsidRPr="001E6745">
        <w:rPr>
          <w:iCs/>
          <w:color w:val="000000" w:themeColor="text1"/>
        </w:rPr>
        <w:tab/>
      </w:r>
      <w:r w:rsidRPr="001E6745">
        <w:rPr>
          <w:rStyle w:val="NoteRefInNote"/>
          <w:color w:val="000000" w:themeColor="text1"/>
        </w:rPr>
        <w:footnoteRef/>
      </w:r>
      <w:r w:rsidRPr="001E6745">
        <w:rPr>
          <w:iCs/>
          <w:color w:val="000000" w:themeColor="text1"/>
        </w:rPr>
        <w:t>. </w:t>
      </w:r>
      <w:r w:rsidRPr="001E6745">
        <w:rPr>
          <w:i/>
          <w:iCs/>
          <w:color w:val="000000" w:themeColor="text1"/>
        </w:rPr>
        <w:t>Id.</w:t>
      </w:r>
      <w:r w:rsidRPr="001E6745">
        <w:rPr>
          <w:color w:val="000000" w:themeColor="text1"/>
        </w:rPr>
        <w:t xml:space="preserve"> (quoting </w:t>
      </w:r>
      <w:r w:rsidR="00DD2496" w:rsidRPr="001E6745">
        <w:rPr>
          <w:i/>
          <w:iCs/>
          <w:color w:val="000000" w:themeColor="text1"/>
        </w:rPr>
        <w:t xml:space="preserve">Bankruptcy Reform Act of 1978: </w:t>
      </w:r>
      <w:r w:rsidRPr="001E6745">
        <w:rPr>
          <w:i/>
          <w:iCs/>
          <w:color w:val="000000" w:themeColor="text1"/>
          <w:shd w:val="clear" w:color="auto" w:fill="FFFFFF"/>
        </w:rPr>
        <w:t>Hearing on S. 2266 and H.R. 8200 Before the Subcomm. on Improvements in the Jud</w:t>
      </w:r>
      <w:r w:rsidR="00DD2496" w:rsidRPr="001E6745">
        <w:rPr>
          <w:i/>
          <w:iCs/>
          <w:color w:val="000000" w:themeColor="text1"/>
          <w:shd w:val="clear" w:color="auto" w:fill="FFFFFF"/>
        </w:rPr>
        <w:t>.</w:t>
      </w:r>
      <w:r w:rsidRPr="001E6745">
        <w:rPr>
          <w:i/>
          <w:iCs/>
          <w:color w:val="000000" w:themeColor="text1"/>
          <w:shd w:val="clear" w:color="auto" w:fill="FFFFFF"/>
        </w:rPr>
        <w:t xml:space="preserve"> Mach</w:t>
      </w:r>
      <w:r w:rsidR="00DD2496" w:rsidRPr="001E6745">
        <w:rPr>
          <w:i/>
          <w:iCs/>
          <w:color w:val="000000" w:themeColor="text1"/>
          <w:shd w:val="clear" w:color="auto" w:fill="FFFFFF"/>
        </w:rPr>
        <w:t>.</w:t>
      </w:r>
      <w:r w:rsidRPr="001E6745">
        <w:rPr>
          <w:i/>
          <w:iCs/>
          <w:color w:val="000000" w:themeColor="text1"/>
          <w:shd w:val="clear" w:color="auto" w:fill="FFFFFF"/>
        </w:rPr>
        <w:t xml:space="preserve"> of the S. Comm. on the Judiciary</w:t>
      </w:r>
      <w:r w:rsidRPr="001E6745">
        <w:rPr>
          <w:color w:val="000000" w:themeColor="text1"/>
          <w:shd w:val="clear" w:color="auto" w:fill="FFFFFF"/>
        </w:rPr>
        <w:t>, 95th Cong. 832 (1977)</w:t>
      </w:r>
      <w:r w:rsidR="00DD2496" w:rsidRPr="001E6745">
        <w:rPr>
          <w:color w:val="000000" w:themeColor="text1"/>
          <w:shd w:val="clear" w:color="auto" w:fill="FFFFFF"/>
        </w:rPr>
        <w:t xml:space="preserve"> (statement of Charles A. Horsky, Chairman, National Bankruptcy Conference)</w:t>
      </w:r>
      <w:r w:rsidRPr="001E6745">
        <w:rPr>
          <w:color w:val="000000" w:themeColor="text1"/>
          <w:shd w:val="clear" w:color="auto" w:fill="FFFFFF"/>
        </w:rPr>
        <w:t>).</w:t>
      </w:r>
    </w:p>
  </w:footnote>
  <w:footnote w:id="162">
    <w:p w14:paraId="09DCD9A3" w14:textId="18263269" w:rsidR="006D3942" w:rsidRPr="006D3942" w:rsidRDefault="006D3942" w:rsidP="00695136">
      <w:pPr>
        <w:pStyle w:val="FootNote"/>
      </w:pPr>
      <w:r w:rsidRPr="006D3942">
        <w:tab/>
      </w:r>
      <w:r w:rsidRPr="006D3942">
        <w:rPr>
          <w:rStyle w:val="NoteRefInNote"/>
        </w:rPr>
        <w:footnoteRef/>
      </w:r>
      <w:r w:rsidRPr="006D3942">
        <w:t xml:space="preserve">. McKenzie, </w:t>
      </w:r>
      <w:r w:rsidRPr="006D3942">
        <w:rPr>
          <w:i/>
          <w:iCs/>
        </w:rPr>
        <w:t>supra</w:t>
      </w:r>
      <w:r w:rsidRPr="006D3942">
        <w:t xml:space="preserve"> note</w:t>
      </w:r>
      <w:r w:rsidR="00E95185">
        <w:t xml:space="preserve"> 15</w:t>
      </w:r>
      <w:r w:rsidR="00534DC5">
        <w:t>5</w:t>
      </w:r>
      <w:r w:rsidR="00C20337">
        <w:t xml:space="preserve">, </w:t>
      </w:r>
      <w:r w:rsidRPr="006D3942">
        <w:t>at 759.</w:t>
      </w:r>
    </w:p>
  </w:footnote>
  <w:footnote w:id="163">
    <w:p w14:paraId="41A135B7" w14:textId="2DD1C6AC" w:rsidR="00EB4898" w:rsidRPr="00EF1FA7" w:rsidRDefault="00EF1FA7" w:rsidP="00695136">
      <w:pPr>
        <w:pStyle w:val="FootNote"/>
        <w:rPr>
          <w:szCs w:val="17"/>
        </w:rPr>
      </w:pPr>
      <w:r w:rsidRPr="001E6745">
        <w:rPr>
          <w:szCs w:val="17"/>
        </w:rPr>
        <w:tab/>
      </w:r>
      <w:r w:rsidR="00213526" w:rsidRPr="001E6745">
        <w:rPr>
          <w:rStyle w:val="NoteRefInNote"/>
        </w:rPr>
        <w:footnoteRef/>
      </w:r>
      <w:r w:rsidRPr="001E6745">
        <w:rPr>
          <w:szCs w:val="17"/>
        </w:rPr>
        <w:t>. </w:t>
      </w:r>
      <w:r w:rsidR="003157C4" w:rsidRPr="001E6745">
        <w:t>458 U.S. 50 (1982)</w:t>
      </w:r>
      <w:r w:rsidR="001550FE" w:rsidRPr="00EF1FA7">
        <w:rPr>
          <w:szCs w:val="17"/>
        </w:rPr>
        <w:t>.</w:t>
      </w:r>
    </w:p>
  </w:footnote>
  <w:footnote w:id="164">
    <w:p w14:paraId="29A3B422" w14:textId="7DB0132B" w:rsidR="006D3942" w:rsidRPr="006D3942" w:rsidRDefault="006D3942" w:rsidP="00695136">
      <w:pPr>
        <w:pStyle w:val="FootNote"/>
      </w:pPr>
      <w:r w:rsidRPr="005244B4">
        <w:rPr>
          <w:iCs/>
          <w:szCs w:val="17"/>
        </w:rPr>
        <w:tab/>
      </w:r>
      <w:r w:rsidRPr="005244B4">
        <w:rPr>
          <w:rStyle w:val="NoteRefInNote"/>
          <w:szCs w:val="17"/>
        </w:rPr>
        <w:footnoteRef/>
      </w:r>
      <w:r w:rsidRPr="005244B4">
        <w:rPr>
          <w:iCs/>
          <w:szCs w:val="17"/>
        </w:rPr>
        <w:t>. </w:t>
      </w:r>
      <w:r w:rsidR="00DD2496" w:rsidRPr="00564984">
        <w:rPr>
          <w:i/>
          <w:iCs/>
          <w:szCs w:val="17"/>
        </w:rPr>
        <w:t>See infra</w:t>
      </w:r>
      <w:r w:rsidR="00DD2496">
        <w:rPr>
          <w:szCs w:val="17"/>
        </w:rPr>
        <w:t xml:space="preserve"> text accompanying notes </w:t>
      </w:r>
      <w:r w:rsidR="00DD2496">
        <w:rPr>
          <w:szCs w:val="17"/>
        </w:rPr>
        <w:fldChar w:fldCharType="begin"/>
      </w:r>
      <w:r w:rsidR="00DD2496">
        <w:rPr>
          <w:szCs w:val="17"/>
        </w:rPr>
        <w:instrText xml:space="preserve"> NOTEREF _Ref181480296 \h </w:instrText>
      </w:r>
      <w:r w:rsidR="001E6745">
        <w:rPr>
          <w:szCs w:val="17"/>
        </w:rPr>
        <w:instrText xml:space="preserve"> \* MERGEFORMAT </w:instrText>
      </w:r>
      <w:r w:rsidR="00DD2496">
        <w:rPr>
          <w:szCs w:val="17"/>
        </w:rPr>
      </w:r>
      <w:r w:rsidR="00DD2496">
        <w:rPr>
          <w:szCs w:val="17"/>
        </w:rPr>
        <w:fldChar w:fldCharType="separate"/>
      </w:r>
      <w:r w:rsidR="00102CC5">
        <w:rPr>
          <w:szCs w:val="17"/>
        </w:rPr>
        <w:t>193</w:t>
      </w:r>
      <w:r w:rsidR="00DD2496">
        <w:rPr>
          <w:szCs w:val="17"/>
        </w:rPr>
        <w:fldChar w:fldCharType="end"/>
      </w:r>
      <w:r w:rsidR="00DD2496">
        <w:rPr>
          <w:szCs w:val="17"/>
        </w:rPr>
        <w:t>–</w:t>
      </w:r>
      <w:r w:rsidR="00DD2496">
        <w:rPr>
          <w:szCs w:val="17"/>
        </w:rPr>
        <w:fldChar w:fldCharType="begin"/>
      </w:r>
      <w:r w:rsidR="00DD2496">
        <w:rPr>
          <w:szCs w:val="17"/>
        </w:rPr>
        <w:instrText xml:space="preserve"> NOTEREF _Ref177480479 \h </w:instrText>
      </w:r>
      <w:r w:rsidR="001E6745">
        <w:rPr>
          <w:szCs w:val="17"/>
        </w:rPr>
        <w:instrText xml:space="preserve"> \* MERGEFORMAT </w:instrText>
      </w:r>
      <w:r w:rsidR="00DD2496">
        <w:rPr>
          <w:szCs w:val="17"/>
        </w:rPr>
      </w:r>
      <w:r w:rsidR="00DD2496">
        <w:rPr>
          <w:szCs w:val="17"/>
        </w:rPr>
        <w:fldChar w:fldCharType="separate"/>
      </w:r>
      <w:r w:rsidR="00102CC5">
        <w:rPr>
          <w:szCs w:val="17"/>
        </w:rPr>
        <w:t>197</w:t>
      </w:r>
      <w:r w:rsidR="00DD2496">
        <w:rPr>
          <w:szCs w:val="17"/>
        </w:rPr>
        <w:fldChar w:fldCharType="end"/>
      </w:r>
      <w:r w:rsidR="00213526" w:rsidRPr="005244B4">
        <w:rPr>
          <w:szCs w:val="17"/>
        </w:rPr>
        <w:t>.</w:t>
      </w:r>
    </w:p>
  </w:footnote>
  <w:footnote w:id="165">
    <w:p w14:paraId="71568579" w14:textId="58E01414" w:rsidR="006D3942" w:rsidRPr="006D3942" w:rsidRDefault="006D3942" w:rsidP="00695136">
      <w:pPr>
        <w:pStyle w:val="FootNote"/>
      </w:pPr>
      <w:r w:rsidRPr="006D3942">
        <w:tab/>
      </w:r>
      <w:r w:rsidRPr="006D3942">
        <w:rPr>
          <w:rStyle w:val="NoteRefInNote"/>
        </w:rPr>
        <w:footnoteRef/>
      </w:r>
      <w:r w:rsidRPr="006D3942">
        <w:t xml:space="preserve">. Posner, </w:t>
      </w:r>
      <w:r w:rsidRPr="006D3942">
        <w:rPr>
          <w:i/>
          <w:iCs/>
        </w:rPr>
        <w:t>supra</w:t>
      </w:r>
      <w:r w:rsidRPr="006D3942">
        <w:t xml:space="preserve"> note</w:t>
      </w:r>
      <w:r w:rsidR="00E95185">
        <w:t xml:space="preserve"> 14</w:t>
      </w:r>
      <w:r w:rsidR="00534DC5">
        <w:t>9</w:t>
      </w:r>
      <w:r w:rsidRPr="006D3942">
        <w:t>, at 67.</w:t>
      </w:r>
    </w:p>
  </w:footnote>
  <w:footnote w:id="166">
    <w:p w14:paraId="2C098398" w14:textId="496223B3"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 xml:space="preserve">Id. </w:t>
      </w:r>
      <w:r w:rsidRPr="006D3942">
        <w:t>at 74.</w:t>
      </w:r>
    </w:p>
  </w:footnote>
  <w:footnote w:id="167">
    <w:p w14:paraId="11F983F8" w14:textId="60730E25"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68">
    <w:p w14:paraId="2C486F67" w14:textId="1406B337" w:rsidR="006D3942" w:rsidRPr="00DD2496"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DD2496">
        <w:rPr>
          <w:i/>
          <w:iCs/>
        </w:rPr>
        <w:t xml:space="preserve"> </w:t>
      </w:r>
      <w:r w:rsidR="00DD2496" w:rsidRPr="00564984">
        <w:t>at 75.</w:t>
      </w:r>
    </w:p>
  </w:footnote>
  <w:footnote w:id="169">
    <w:p w14:paraId="32BB530D" w14:textId="098B7E44"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 xml:space="preserve">Id. </w:t>
      </w:r>
      <w:r w:rsidRPr="006D3942">
        <w:t>at 68.</w:t>
      </w:r>
    </w:p>
  </w:footnote>
  <w:footnote w:id="170">
    <w:p w14:paraId="30482B6F" w14:textId="130ECFAB" w:rsidR="006D3942" w:rsidRPr="006D3942" w:rsidRDefault="006D3942" w:rsidP="00695136">
      <w:pPr>
        <w:pStyle w:val="FootNote"/>
      </w:pPr>
      <w:r w:rsidRPr="006D3942">
        <w:tab/>
      </w:r>
      <w:r w:rsidRPr="006D3942">
        <w:rPr>
          <w:rStyle w:val="NoteRefInNote"/>
        </w:rPr>
        <w:footnoteRef/>
      </w:r>
      <w:r w:rsidRPr="006D3942">
        <w:t>. </w:t>
      </w:r>
      <w:r w:rsidR="00DD2496" w:rsidRPr="00564984">
        <w:rPr>
          <w:i/>
          <w:iCs/>
        </w:rPr>
        <w:t>Id.</w:t>
      </w:r>
      <w:r w:rsidR="00DD2496">
        <w:t xml:space="preserve"> at 69.</w:t>
      </w:r>
    </w:p>
  </w:footnote>
  <w:footnote w:id="171">
    <w:p w14:paraId="18DF3FD9" w14:textId="276F3AA1" w:rsidR="006D3942" w:rsidRPr="006D3942" w:rsidRDefault="006D3942" w:rsidP="00695136">
      <w:pPr>
        <w:pStyle w:val="FootNote"/>
      </w:pPr>
      <w:r w:rsidRPr="006D3942">
        <w:rPr>
          <w:iCs/>
        </w:rPr>
        <w:tab/>
      </w:r>
      <w:r w:rsidRPr="006D3942">
        <w:rPr>
          <w:rStyle w:val="NoteRefInNote"/>
        </w:rPr>
        <w:footnoteRef/>
      </w:r>
      <w:r w:rsidRPr="006D3942">
        <w:rPr>
          <w:iCs/>
        </w:rPr>
        <w:t>. </w:t>
      </w:r>
      <w:r w:rsidR="00DD2496" w:rsidRPr="006D3942">
        <w:t xml:space="preserve">Mund, </w:t>
      </w:r>
      <w:r w:rsidR="00DD2496" w:rsidRPr="006D3942">
        <w:rPr>
          <w:i/>
          <w:iCs/>
        </w:rPr>
        <w:t>supra</w:t>
      </w:r>
      <w:r w:rsidR="00DD2496" w:rsidRPr="006D3942">
        <w:t xml:space="preserve"> note</w:t>
      </w:r>
      <w:r w:rsidR="00F34F88">
        <w:t xml:space="preserve"> 14</w:t>
      </w:r>
      <w:r w:rsidR="00534DC5">
        <w:t>6</w:t>
      </w:r>
      <w:r w:rsidR="00DD2496" w:rsidRPr="006D3942">
        <w:t>, at</w:t>
      </w:r>
      <w:r w:rsidRPr="006D3942">
        <w:t xml:space="preserve"> 22.</w:t>
      </w:r>
    </w:p>
  </w:footnote>
  <w:footnote w:id="172">
    <w:p w14:paraId="0DAF5433" w14:textId="7128F386" w:rsidR="006D3942" w:rsidRPr="006D3942" w:rsidRDefault="006D3942" w:rsidP="00695136">
      <w:pPr>
        <w:pStyle w:val="FootNote"/>
      </w:pPr>
      <w:r w:rsidRPr="006D3942">
        <w:tab/>
      </w:r>
      <w:r w:rsidRPr="006D3942">
        <w:rPr>
          <w:rStyle w:val="NoteRefInNote"/>
        </w:rPr>
        <w:footnoteRef/>
      </w:r>
      <w:r w:rsidRPr="006D3942">
        <w:t>. For a timeline of these events</w:t>
      </w:r>
      <w:r w:rsidR="00B41359">
        <w:t>,</w:t>
      </w:r>
      <w:r w:rsidRPr="006D3942">
        <w:t xml:space="preserve"> see Posner</w:t>
      </w:r>
      <w:r w:rsidR="00B41359">
        <w:t>,</w:t>
      </w:r>
      <w:r w:rsidRPr="006D3942">
        <w:rPr>
          <w:i/>
          <w:iCs/>
        </w:rPr>
        <w:t xml:space="preserve"> supra</w:t>
      </w:r>
      <w:r w:rsidRPr="006D3942">
        <w:t xml:space="preserve"> note</w:t>
      </w:r>
      <w:r w:rsidR="00F34F88">
        <w:t xml:space="preserve"> 14</w:t>
      </w:r>
      <w:r w:rsidR="00534DC5">
        <w:t>9</w:t>
      </w:r>
      <w:r w:rsidRPr="006D3942">
        <w:t>, at 69–70.</w:t>
      </w:r>
    </w:p>
  </w:footnote>
  <w:footnote w:id="173">
    <w:p w14:paraId="50DAB34B" w14:textId="0A9F34CA"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74">
    <w:p w14:paraId="08E957B2" w14:textId="18B8D4B2"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at 70.</w:t>
      </w:r>
    </w:p>
  </w:footnote>
  <w:footnote w:id="175">
    <w:p w14:paraId="00C246B7" w14:textId="05C463B2"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76">
    <w:p w14:paraId="2ECC33B6" w14:textId="5A314B86"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77">
    <w:p w14:paraId="788B0B7E" w14:textId="302B45C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 xml:space="preserve">Id. </w:t>
      </w:r>
      <w:r w:rsidRPr="006D3942">
        <w:t>at 71.</w:t>
      </w:r>
    </w:p>
  </w:footnote>
  <w:footnote w:id="178">
    <w:p w14:paraId="341B55B0" w14:textId="07216F17"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at 71–72.</w:t>
      </w:r>
    </w:p>
  </w:footnote>
  <w:footnote w:id="179">
    <w:p w14:paraId="4A2317FA" w14:textId="12D83150" w:rsidR="006D3942" w:rsidRPr="006D3942" w:rsidRDefault="006D3942" w:rsidP="00695136">
      <w:pPr>
        <w:pStyle w:val="FootNote"/>
      </w:pPr>
      <w:r w:rsidRPr="006D3942">
        <w:tab/>
      </w:r>
      <w:r w:rsidRPr="006D3942">
        <w:rPr>
          <w:rStyle w:val="NoteRefInNote"/>
        </w:rPr>
        <w:footnoteRef/>
      </w:r>
      <w:r w:rsidRPr="006D3942">
        <w:t>. </w:t>
      </w:r>
      <w:r w:rsidR="00DD2496">
        <w:rPr>
          <w:i/>
          <w:iCs/>
        </w:rPr>
        <w:t>See i</w:t>
      </w:r>
      <w:r w:rsidR="00DD2496" w:rsidRPr="00564984">
        <w:rPr>
          <w:i/>
          <w:iCs/>
        </w:rPr>
        <w:t>d.</w:t>
      </w:r>
      <w:r w:rsidRPr="006D3942">
        <w:t xml:space="preserve"> at 72</w:t>
      </w:r>
      <w:r w:rsidR="00DD2496">
        <w:t xml:space="preserve"> (describing the proposed administrative structure for the bankruptcy system under S</w:t>
      </w:r>
      <w:r w:rsidR="00633EC7">
        <w:t xml:space="preserve">enate </w:t>
      </w:r>
      <w:r w:rsidR="00DD2496">
        <w:t>B</w:t>
      </w:r>
      <w:r w:rsidR="00633EC7">
        <w:t>ill</w:t>
      </w:r>
      <w:r w:rsidR="00DD2496">
        <w:t xml:space="preserve"> 2266). </w:t>
      </w:r>
    </w:p>
  </w:footnote>
  <w:footnote w:id="180">
    <w:p w14:paraId="3C36D429" w14:textId="6FC988E4"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81">
    <w:p w14:paraId="2F0926D8" w14:textId="21958ED6"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82">
    <w:p w14:paraId="364A21F4" w14:textId="6F66489C" w:rsidR="006D3942" w:rsidRPr="00DD2496"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DD2496">
        <w:rPr>
          <w:i/>
          <w:iCs/>
        </w:rPr>
        <w:t xml:space="preserve"> </w:t>
      </w:r>
      <w:r w:rsidR="00DD2496" w:rsidRPr="00564984">
        <w:t>at 72–73.</w:t>
      </w:r>
    </w:p>
  </w:footnote>
  <w:footnote w:id="183">
    <w:p w14:paraId="0AB74FAD" w14:textId="6EB6CF3B"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p>
  </w:footnote>
  <w:footnote w:id="184">
    <w:p w14:paraId="630D753D" w14:textId="212197B7" w:rsidR="006D3942" w:rsidRPr="006D3942" w:rsidRDefault="006D3942" w:rsidP="00695136">
      <w:pPr>
        <w:pStyle w:val="FootNote"/>
      </w:pPr>
      <w:r w:rsidRPr="006D3942">
        <w:tab/>
      </w:r>
      <w:r w:rsidRPr="006D3942">
        <w:rPr>
          <w:rStyle w:val="NoteRefInNote"/>
        </w:rPr>
        <w:footnoteRef/>
      </w:r>
      <w:r w:rsidRPr="006D3942">
        <w:t>. </w:t>
      </w:r>
      <w:r w:rsidR="009811BB" w:rsidRPr="00564984">
        <w:rPr>
          <w:i/>
          <w:iCs/>
        </w:rPr>
        <w:t>Id.</w:t>
      </w:r>
      <w:r w:rsidRPr="006D3942">
        <w:t xml:space="preserve"> at </w:t>
      </w:r>
      <w:r w:rsidR="009811BB">
        <w:t xml:space="preserve">77, </w:t>
      </w:r>
      <w:r w:rsidRPr="006D3942">
        <w:t>7</w:t>
      </w:r>
      <w:r w:rsidR="009811BB">
        <w:t>9</w:t>
      </w:r>
      <w:r w:rsidRPr="006D3942">
        <w:t>–8</w:t>
      </w:r>
      <w:r w:rsidR="009811BB">
        <w:t>2</w:t>
      </w:r>
      <w:r w:rsidRPr="006D3942">
        <w:t>.</w:t>
      </w:r>
    </w:p>
  </w:footnote>
  <w:footnote w:id="185">
    <w:p w14:paraId="376AA0C2" w14:textId="65897BE1" w:rsidR="006D3942" w:rsidRPr="009811BB"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9811BB">
        <w:rPr>
          <w:i/>
          <w:iCs/>
        </w:rPr>
        <w:t xml:space="preserve"> </w:t>
      </w:r>
      <w:r w:rsidR="009811BB" w:rsidRPr="00564984">
        <w:t xml:space="preserve">at </w:t>
      </w:r>
      <w:r w:rsidR="009811BB">
        <w:t>88</w:t>
      </w:r>
      <w:r w:rsidR="009811BB" w:rsidRPr="00564984">
        <w:t>.</w:t>
      </w:r>
    </w:p>
  </w:footnote>
  <w:footnote w:id="186">
    <w:p w14:paraId="4A02F5D3" w14:textId="18717984" w:rsidR="006D3942" w:rsidRPr="006D3942" w:rsidRDefault="006D3942" w:rsidP="00695136">
      <w:pPr>
        <w:pStyle w:val="FootNote"/>
      </w:pPr>
      <w:r w:rsidRPr="006D3942">
        <w:tab/>
      </w:r>
      <w:r w:rsidRPr="006D3942">
        <w:rPr>
          <w:rStyle w:val="NoteRefInNote"/>
        </w:rPr>
        <w:footnoteRef/>
      </w:r>
      <w:r w:rsidRPr="006D3942">
        <w:t>. </w:t>
      </w:r>
      <w:r w:rsidR="00633EC7">
        <w:t xml:space="preserve">Tuan </w:t>
      </w:r>
      <w:r w:rsidRPr="006D3942">
        <w:t>Samahon</w:t>
      </w:r>
      <w:r w:rsidRPr="00A13608">
        <w:t>,</w:t>
      </w:r>
      <w:r w:rsidR="00633EC7">
        <w:rPr>
          <w:i/>
          <w:iCs/>
        </w:rPr>
        <w:t xml:space="preserve"> Are Bankruptcy Judges Unconstitutional? An Appointments Clause Challenge</w:t>
      </w:r>
      <w:r w:rsidR="00633EC7">
        <w:t xml:space="preserve">, 60 </w:t>
      </w:r>
      <w:r w:rsidR="00633EC7">
        <w:rPr>
          <w:smallCaps/>
        </w:rPr>
        <w:t>Hastings L.J.</w:t>
      </w:r>
      <w:r w:rsidRPr="006D3942">
        <w:t xml:space="preserve"> </w:t>
      </w:r>
      <w:r w:rsidR="00633EC7">
        <w:t xml:space="preserve">233, </w:t>
      </w:r>
      <w:r w:rsidRPr="006D3942">
        <w:t>24</w:t>
      </w:r>
      <w:r w:rsidR="009811BB">
        <w:t>0</w:t>
      </w:r>
      <w:r w:rsidR="00B41359">
        <w:t>–</w:t>
      </w:r>
      <w:r w:rsidRPr="006D3942">
        <w:t>4</w:t>
      </w:r>
      <w:r w:rsidR="009811BB">
        <w:t>2</w:t>
      </w:r>
      <w:r w:rsidR="00633EC7">
        <w:t xml:space="preserve"> (2008)</w:t>
      </w:r>
      <w:r w:rsidRPr="006D3942">
        <w:t>.</w:t>
      </w:r>
    </w:p>
  </w:footnote>
  <w:footnote w:id="187">
    <w:p w14:paraId="2D24C799" w14:textId="4B134EFE" w:rsidR="006D3942" w:rsidRPr="006D3942" w:rsidRDefault="006D3942" w:rsidP="00695136">
      <w:pPr>
        <w:pStyle w:val="FootNote"/>
      </w:pPr>
      <w:r w:rsidRPr="006D3942">
        <w:rPr>
          <w:iCs/>
        </w:rPr>
        <w:tab/>
      </w:r>
      <w:r w:rsidRPr="006D3942">
        <w:rPr>
          <w:rStyle w:val="NoteRefInNote"/>
        </w:rPr>
        <w:footnoteRef/>
      </w:r>
      <w:r w:rsidRPr="006D3942">
        <w:rPr>
          <w:iCs/>
        </w:rPr>
        <w:t>. </w:t>
      </w:r>
      <w:r w:rsidR="009811BB" w:rsidRPr="006D3942">
        <w:t>Posner</w:t>
      </w:r>
      <w:r w:rsidR="009811BB">
        <w:t>,</w:t>
      </w:r>
      <w:r w:rsidR="009811BB" w:rsidRPr="006D3942">
        <w:rPr>
          <w:i/>
          <w:iCs/>
        </w:rPr>
        <w:t xml:space="preserve"> supra</w:t>
      </w:r>
      <w:r w:rsidR="009811BB" w:rsidRPr="006D3942">
        <w:t xml:space="preserve"> note</w:t>
      </w:r>
      <w:r w:rsidR="00A97E9D">
        <w:t xml:space="preserve"> 14</w:t>
      </w:r>
      <w:r w:rsidR="00534DC5">
        <w:t>9</w:t>
      </w:r>
      <w:r w:rsidR="009811BB" w:rsidRPr="006D3942">
        <w:t>,</w:t>
      </w:r>
      <w:r w:rsidRPr="006D3942">
        <w:t xml:space="preserve"> at 8</w:t>
      </w:r>
      <w:r w:rsidR="009811BB">
        <w:t>8</w:t>
      </w:r>
      <w:r w:rsidRPr="006D3942">
        <w:t>.</w:t>
      </w:r>
    </w:p>
  </w:footnote>
  <w:footnote w:id="188">
    <w:p w14:paraId="517E18A1" w14:textId="6F68BDFE" w:rsidR="006D3942" w:rsidRPr="009811BB"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9811BB">
        <w:rPr>
          <w:i/>
          <w:iCs/>
        </w:rPr>
        <w:t xml:space="preserve"> </w:t>
      </w:r>
      <w:r w:rsidR="009811BB" w:rsidRPr="00564984">
        <w:t xml:space="preserve">at 85–86, 89. </w:t>
      </w:r>
    </w:p>
  </w:footnote>
  <w:footnote w:id="189">
    <w:p w14:paraId="2A81CEE3" w14:textId="3ECA5518" w:rsidR="006D3942" w:rsidRPr="006D3942" w:rsidRDefault="006D3942" w:rsidP="00695136">
      <w:pPr>
        <w:pStyle w:val="FootNote"/>
      </w:pPr>
      <w:r w:rsidRPr="006D3942">
        <w:tab/>
      </w:r>
      <w:r w:rsidRPr="006D3942">
        <w:rPr>
          <w:rStyle w:val="NoteRefInNote"/>
        </w:rPr>
        <w:footnoteRef/>
      </w:r>
      <w:r w:rsidRPr="006D3942">
        <w:t xml:space="preserve">. Mund, </w:t>
      </w:r>
      <w:r w:rsidRPr="006D3942">
        <w:rPr>
          <w:i/>
          <w:iCs/>
        </w:rPr>
        <w:t>supra</w:t>
      </w:r>
      <w:r w:rsidRPr="006D3942">
        <w:t xml:space="preserve"> note</w:t>
      </w:r>
      <w:r w:rsidR="00A97E9D">
        <w:t xml:space="preserve"> 14</w:t>
      </w:r>
      <w:r w:rsidR="00214BDA">
        <w:t>6</w:t>
      </w:r>
      <w:r w:rsidRPr="006D3942">
        <w:t>, at 2 (</w:t>
      </w:r>
      <w:r w:rsidR="009811BB">
        <w:t>quoting</w:t>
      </w:r>
      <w:r w:rsidRPr="006D3942">
        <w:t xml:space="preserve"> </w:t>
      </w:r>
      <w:r w:rsidRPr="006D3942">
        <w:rPr>
          <w:shd w:val="clear" w:color="auto" w:fill="FFFFFF"/>
        </w:rPr>
        <w:t>Memorandum from Robert Lipshutz to President Carter</w:t>
      </w:r>
      <w:r w:rsidR="009811BB">
        <w:rPr>
          <w:shd w:val="clear" w:color="auto" w:fill="FFFFFF"/>
        </w:rPr>
        <w:t xml:space="preserve"> 2 (Oct. 31, 1978) (on file with the </w:t>
      </w:r>
      <w:r w:rsidR="009811BB" w:rsidRPr="009811BB">
        <w:rPr>
          <w:shd w:val="clear" w:color="auto" w:fill="FFFFFF"/>
        </w:rPr>
        <w:t xml:space="preserve">Jimmy Carter </w:t>
      </w:r>
      <w:r w:rsidR="00A57FC8">
        <w:rPr>
          <w:shd w:val="clear" w:color="auto" w:fill="FFFFFF"/>
        </w:rPr>
        <w:t xml:space="preserve">Presidential </w:t>
      </w:r>
      <w:r w:rsidR="009811BB" w:rsidRPr="009811BB">
        <w:rPr>
          <w:shd w:val="clear" w:color="auto" w:fill="FFFFFF"/>
        </w:rPr>
        <w:t>Library</w:t>
      </w:r>
      <w:r w:rsidR="009811BB">
        <w:rPr>
          <w:shd w:val="clear" w:color="auto" w:fill="FFFFFF"/>
        </w:rPr>
        <w:t>)</w:t>
      </w:r>
      <w:r w:rsidRPr="006D3942">
        <w:rPr>
          <w:shd w:val="clear" w:color="auto" w:fill="FFFFFF"/>
        </w:rPr>
        <w:t>)</w:t>
      </w:r>
      <w:r w:rsidR="009811BB">
        <w:rPr>
          <w:shd w:val="clear" w:color="auto" w:fill="FFFFFF"/>
        </w:rPr>
        <w:t>.</w:t>
      </w:r>
    </w:p>
  </w:footnote>
  <w:footnote w:id="190">
    <w:p w14:paraId="5408E90E" w14:textId="732F45FE" w:rsidR="006D3942" w:rsidRPr="006D3942" w:rsidRDefault="006D3942" w:rsidP="00695136">
      <w:pPr>
        <w:pStyle w:val="FootNote"/>
      </w:pPr>
      <w:r w:rsidRPr="006D3942">
        <w:tab/>
      </w:r>
      <w:r w:rsidRPr="006D3942">
        <w:rPr>
          <w:rStyle w:val="NoteRefInNote"/>
        </w:rPr>
        <w:footnoteRef/>
      </w:r>
      <w:r w:rsidRPr="006D3942">
        <w:t>. </w:t>
      </w:r>
      <w:r w:rsidR="00A57FC8">
        <w:rPr>
          <w:i/>
          <w:iCs/>
        </w:rPr>
        <w:t xml:space="preserve">See </w:t>
      </w:r>
      <w:r w:rsidRPr="006D3942">
        <w:t>Posner</w:t>
      </w:r>
      <w:r w:rsidR="00B41359">
        <w:t>,</w:t>
      </w:r>
      <w:r w:rsidRPr="006D3942">
        <w:rPr>
          <w:i/>
          <w:iCs/>
        </w:rPr>
        <w:t xml:space="preserve"> supra</w:t>
      </w:r>
      <w:r w:rsidRPr="006D3942">
        <w:t xml:space="preserve"> note</w:t>
      </w:r>
      <w:r w:rsidR="00A97E9D">
        <w:t xml:space="preserve"> 14</w:t>
      </w:r>
      <w:r w:rsidR="00214BDA">
        <w:t>9</w:t>
      </w:r>
      <w:r w:rsidRPr="006D3942">
        <w:t>, at 90</w:t>
      </w:r>
      <w:r w:rsidR="00A57FC8">
        <w:t xml:space="preserve"> (describing an account of Chief Justice Burger opposing the elevation of bankruptcy judges).</w:t>
      </w:r>
    </w:p>
  </w:footnote>
  <w:footnote w:id="191">
    <w:p w14:paraId="0E20CA2D" w14:textId="70D05EF9"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Pr="006D3942">
        <w:t xml:space="preserve"> at </w:t>
      </w:r>
      <w:r w:rsidR="000B7B34">
        <w:t>90–</w:t>
      </w:r>
      <w:r w:rsidRPr="006D3942">
        <w:t>91.</w:t>
      </w:r>
    </w:p>
  </w:footnote>
  <w:footnote w:id="192">
    <w:p w14:paraId="1AF8E775" w14:textId="4075AE35" w:rsidR="006D3942" w:rsidRPr="000B7B34" w:rsidRDefault="006D3942" w:rsidP="00695136">
      <w:pPr>
        <w:pStyle w:val="FootNote"/>
      </w:pPr>
      <w:r w:rsidRPr="006D3942">
        <w:rPr>
          <w:iCs/>
        </w:rPr>
        <w:tab/>
      </w:r>
      <w:r w:rsidRPr="006D3942">
        <w:rPr>
          <w:rStyle w:val="NoteRefInNote"/>
        </w:rPr>
        <w:footnoteRef/>
      </w:r>
      <w:r w:rsidRPr="006D3942">
        <w:rPr>
          <w:iCs/>
        </w:rPr>
        <w:t>. </w:t>
      </w:r>
      <w:r w:rsidRPr="006D3942">
        <w:rPr>
          <w:i/>
          <w:iCs/>
        </w:rPr>
        <w:t>Id.</w:t>
      </w:r>
      <w:r w:rsidR="000B7B34">
        <w:rPr>
          <w:i/>
          <w:iCs/>
        </w:rPr>
        <w:t xml:space="preserve"> </w:t>
      </w:r>
      <w:r w:rsidR="000B7B34" w:rsidRPr="00564984">
        <w:t>at 91.</w:t>
      </w:r>
    </w:p>
  </w:footnote>
  <w:footnote w:id="193">
    <w:p w14:paraId="61F1E963" w14:textId="1D6F5EFB" w:rsidR="001550FE" w:rsidRPr="001E6745" w:rsidRDefault="00EF1FA7" w:rsidP="00695136">
      <w:pPr>
        <w:pStyle w:val="FootNote"/>
        <w:rPr>
          <w:highlight w:val="yellow"/>
        </w:rPr>
      </w:pPr>
      <w:r w:rsidRPr="001E6745">
        <w:tab/>
      </w:r>
      <w:r w:rsidR="002627E4" w:rsidRPr="001E6745">
        <w:rPr>
          <w:rStyle w:val="NoteRefInNote"/>
        </w:rPr>
        <w:footnoteRef/>
      </w:r>
      <w:r w:rsidRPr="001E6745">
        <w:t>. </w:t>
      </w:r>
      <w:r w:rsidR="00237AAE" w:rsidRPr="00EF1FA7">
        <w:t>N</w:t>
      </w:r>
      <w:r w:rsidR="00AF08DC">
        <w:t>orthern</w:t>
      </w:r>
      <w:r w:rsidR="00237AAE" w:rsidRPr="00EF1FA7">
        <w:t xml:space="preserve"> Pipeline Const</w:t>
      </w:r>
      <w:r w:rsidR="00A57FC8" w:rsidRPr="00EF1FA7">
        <w:t>r</w:t>
      </w:r>
      <w:r w:rsidR="00237AAE" w:rsidRPr="00EF1FA7">
        <w:t xml:space="preserve">. Co. v. Marathon Pipe Line Co., 458 U.S. 50, </w:t>
      </w:r>
      <w:r w:rsidR="00D37E7D" w:rsidRPr="00EF1FA7">
        <w:t>76, 87</w:t>
      </w:r>
      <w:r w:rsidR="00237AAE" w:rsidRPr="00EF1FA7">
        <w:t xml:space="preserve"> (1982)</w:t>
      </w:r>
      <w:r w:rsidR="000B7B34" w:rsidRPr="00EF1FA7">
        <w:t xml:space="preserve"> (plurality opinion)</w:t>
      </w:r>
      <w:r w:rsidR="00237AAE" w:rsidRPr="00EF1FA7">
        <w:t>.</w:t>
      </w:r>
    </w:p>
  </w:footnote>
  <w:footnote w:id="194">
    <w:p w14:paraId="2707015C" w14:textId="779D1E07" w:rsidR="00A57FC8" w:rsidRPr="001E6745" w:rsidRDefault="00EF1FA7" w:rsidP="00695136">
      <w:pPr>
        <w:pStyle w:val="FootNote"/>
        <w:rPr>
          <w:highlight w:val="yellow"/>
        </w:rPr>
      </w:pPr>
      <w:r w:rsidRPr="001E6745">
        <w:tab/>
      </w:r>
      <w:r w:rsidR="003F0FF9" w:rsidRPr="001E6745">
        <w:rPr>
          <w:rStyle w:val="NoteRefInNote"/>
        </w:rPr>
        <w:footnoteRef/>
      </w:r>
      <w:r w:rsidRPr="001E6745">
        <w:t>. </w:t>
      </w:r>
      <w:r w:rsidR="00D37E7D" w:rsidRPr="00EF1FA7">
        <w:rPr>
          <w:i/>
          <w:iCs/>
        </w:rPr>
        <w:t>See</w:t>
      </w:r>
      <w:r w:rsidR="00D37E7D" w:rsidRPr="00EF1FA7">
        <w:t xml:space="preserve"> Samahon, </w:t>
      </w:r>
      <w:r w:rsidR="00D37E7D" w:rsidRPr="00EF1FA7">
        <w:rPr>
          <w:i/>
          <w:iCs/>
        </w:rPr>
        <w:t>supra</w:t>
      </w:r>
      <w:r w:rsidR="00D37E7D" w:rsidRPr="00EF1FA7">
        <w:t xml:space="preserve"> note</w:t>
      </w:r>
      <w:r w:rsidR="0014356F" w:rsidRPr="001E6745">
        <w:t xml:space="preserve"> 18</w:t>
      </w:r>
      <w:r w:rsidR="00214BDA">
        <w:t>6</w:t>
      </w:r>
      <w:r w:rsidR="00A57FC8" w:rsidRPr="00EF1FA7">
        <w:t xml:space="preserve">, </w:t>
      </w:r>
      <w:r w:rsidR="00D37E7D" w:rsidRPr="00EF1FA7">
        <w:t>at 242–43 (noting that</w:t>
      </w:r>
      <w:r w:rsidR="00A57FC8" w:rsidRPr="00EF1FA7">
        <w:t xml:space="preserve"> the Court stayed the </w:t>
      </w:r>
      <w:r w:rsidR="00A57FC8" w:rsidRPr="00EF1FA7">
        <w:rPr>
          <w:i/>
          <w:iCs/>
        </w:rPr>
        <w:t xml:space="preserve">Northern Pipeline </w:t>
      </w:r>
      <w:r w:rsidR="00A57FC8" w:rsidRPr="00EF1FA7">
        <w:t>judgment to allow Congress to react).</w:t>
      </w:r>
    </w:p>
  </w:footnote>
  <w:footnote w:id="195">
    <w:p w14:paraId="505B83A1" w14:textId="6D2924BC" w:rsidR="00A57FC8" w:rsidRPr="001E6745" w:rsidRDefault="00EF1FA7" w:rsidP="00695136">
      <w:pPr>
        <w:pStyle w:val="FootNote"/>
        <w:rPr>
          <w:highlight w:val="yellow"/>
        </w:rPr>
      </w:pPr>
      <w:r w:rsidRPr="001E6745">
        <w:tab/>
      </w:r>
      <w:r w:rsidR="00090501" w:rsidRPr="001E6745">
        <w:rPr>
          <w:rStyle w:val="NoteRefInNote"/>
        </w:rPr>
        <w:footnoteRef/>
      </w:r>
      <w:r w:rsidRPr="001E6745">
        <w:t>. </w:t>
      </w:r>
      <w:r w:rsidR="00D37E7D" w:rsidRPr="00EF1FA7">
        <w:t xml:space="preserve">Jeffrey T. Ferriell, </w:t>
      </w:r>
      <w:r w:rsidR="0014356F" w:rsidRPr="001E6745">
        <w:rPr>
          <w:i/>
          <w:iCs/>
        </w:rPr>
        <w:t xml:space="preserve">The </w:t>
      </w:r>
      <w:r w:rsidR="00D37E7D" w:rsidRPr="00EF1FA7">
        <w:rPr>
          <w:i/>
          <w:iCs/>
        </w:rPr>
        <w:t>Constitutionality of the Bankruptcy Amendments and Federal Judgeship Act of 1984</w:t>
      </w:r>
      <w:r w:rsidR="00D37E7D" w:rsidRPr="00EF1FA7">
        <w:t xml:space="preserve">, 63 </w:t>
      </w:r>
      <w:r w:rsidR="00D37E7D" w:rsidRPr="00EF1FA7">
        <w:rPr>
          <w:smallCaps/>
        </w:rPr>
        <w:t>Am. Bankr. L.J.</w:t>
      </w:r>
      <w:r w:rsidR="00D37E7D" w:rsidRPr="00EF1FA7">
        <w:t xml:space="preserve"> 109, 118 (1989).</w:t>
      </w:r>
    </w:p>
  </w:footnote>
  <w:footnote w:id="196">
    <w:p w14:paraId="6A2D9CE0" w14:textId="6195DD04" w:rsidR="00A57FC8" w:rsidRPr="00F258E0" w:rsidRDefault="00EF1FA7" w:rsidP="00695136">
      <w:pPr>
        <w:pStyle w:val="FootNote"/>
      </w:pPr>
      <w:r w:rsidRPr="001E6745">
        <w:tab/>
      </w:r>
      <w:r w:rsidR="00A57FC8" w:rsidRPr="001E6745">
        <w:rPr>
          <w:rStyle w:val="NoteRefInNote"/>
        </w:rPr>
        <w:footnoteRef/>
      </w:r>
      <w:r w:rsidRPr="001E6745">
        <w:t>. </w:t>
      </w:r>
      <w:r w:rsidR="00A57FC8" w:rsidRPr="00EF1FA7">
        <w:t xml:space="preserve">Samahon, </w:t>
      </w:r>
      <w:r w:rsidR="00A57FC8" w:rsidRPr="00EF1FA7">
        <w:rPr>
          <w:i/>
          <w:iCs/>
        </w:rPr>
        <w:t>supra</w:t>
      </w:r>
      <w:r w:rsidR="00A57FC8" w:rsidRPr="00EF1FA7">
        <w:t xml:space="preserve"> note</w:t>
      </w:r>
      <w:r w:rsidR="0014356F" w:rsidRPr="001E6745">
        <w:t xml:space="preserve"> 18</w:t>
      </w:r>
      <w:r w:rsidR="00214BDA">
        <w:t>6</w:t>
      </w:r>
      <w:r w:rsidR="00A57FC8" w:rsidRPr="00EF1FA7">
        <w:t>, at 243–45.</w:t>
      </w:r>
    </w:p>
  </w:footnote>
  <w:footnote w:id="197">
    <w:p w14:paraId="59D43571" w14:textId="2DDA5F9F" w:rsidR="006D3942" w:rsidRPr="006D3942" w:rsidRDefault="006D3942" w:rsidP="00695136">
      <w:pPr>
        <w:pStyle w:val="FootNote"/>
      </w:pPr>
      <w:r w:rsidRPr="005B4622">
        <w:rPr>
          <w:szCs w:val="17"/>
        </w:rPr>
        <w:tab/>
      </w:r>
      <w:r w:rsidRPr="005B4622">
        <w:rPr>
          <w:rStyle w:val="NoteRefInNote"/>
          <w:szCs w:val="17"/>
        </w:rPr>
        <w:footnoteRef/>
      </w:r>
      <w:r w:rsidRPr="005B4622">
        <w:rPr>
          <w:szCs w:val="17"/>
        </w:rPr>
        <w:t>. </w:t>
      </w:r>
      <w:r w:rsidR="00F26B48" w:rsidRPr="00A13608">
        <w:rPr>
          <w:i/>
          <w:iCs/>
          <w:szCs w:val="17"/>
        </w:rPr>
        <w:t>See</w:t>
      </w:r>
      <w:r w:rsidR="00F26B48">
        <w:rPr>
          <w:szCs w:val="17"/>
        </w:rPr>
        <w:t xml:space="preserve"> </w:t>
      </w:r>
      <w:r w:rsidR="005F6235">
        <w:t xml:space="preserve">McKenzie, </w:t>
      </w:r>
      <w:r w:rsidR="001550FE" w:rsidRPr="001550FE">
        <w:rPr>
          <w:i/>
          <w:iCs/>
        </w:rPr>
        <w:t>supra</w:t>
      </w:r>
      <w:r w:rsidR="001550FE">
        <w:t xml:space="preserve"> note</w:t>
      </w:r>
      <w:r w:rsidR="0014356F">
        <w:t xml:space="preserve"> 15</w:t>
      </w:r>
      <w:r w:rsidR="009F2282">
        <w:t>5</w:t>
      </w:r>
      <w:r w:rsidR="001550FE">
        <w:t xml:space="preserve">, at </w:t>
      </w:r>
      <w:r w:rsidR="005F6235">
        <w:t>76</w:t>
      </w:r>
      <w:r w:rsidR="00D37E7D">
        <w:t>5–6</w:t>
      </w:r>
      <w:r w:rsidR="005F6235">
        <w:t>6</w:t>
      </w:r>
      <w:r w:rsidR="00AD1FC3">
        <w:t>;</w:t>
      </w:r>
      <w:r w:rsidR="00AD1FC3" w:rsidRPr="00AD1FC3">
        <w:t xml:space="preserve"> </w:t>
      </w:r>
      <w:r w:rsidR="00AD1FC3">
        <w:t>7</w:t>
      </w:r>
      <w:r w:rsidR="00D045A8">
        <w:t>9</w:t>
      </w:r>
      <w:r w:rsidR="00626CF0">
        <w:t>2</w:t>
      </w:r>
      <w:r w:rsidR="00E24905">
        <w:t>–</w:t>
      </w:r>
      <w:r w:rsidR="0026680C">
        <w:t>95</w:t>
      </w:r>
      <w:r w:rsidR="00F26B48">
        <w:t xml:space="preserve"> (describing the </w:t>
      </w:r>
      <w:r w:rsidR="00A7000B">
        <w:t xml:space="preserve">insulation and decisional </w:t>
      </w:r>
      <w:r w:rsidR="00295F26">
        <w:t xml:space="preserve">independence of bankruptcy judges through the </w:t>
      </w:r>
      <w:r w:rsidR="00A7000B">
        <w:t>appointment process)</w:t>
      </w:r>
      <w:r w:rsidR="0026680C">
        <w:t>.</w:t>
      </w:r>
    </w:p>
  </w:footnote>
  <w:footnote w:id="198">
    <w:p w14:paraId="28C6F3D8" w14:textId="530D0054" w:rsidR="00547E9A" w:rsidRPr="00EF1FA7" w:rsidRDefault="00EF1FA7" w:rsidP="00695136">
      <w:pPr>
        <w:pStyle w:val="FootNote"/>
      </w:pPr>
      <w:r w:rsidRPr="001E6745">
        <w:tab/>
      </w:r>
      <w:r w:rsidR="00547E9A" w:rsidRPr="001E6745">
        <w:rPr>
          <w:rStyle w:val="NoteRefInNote"/>
        </w:rPr>
        <w:footnoteRef/>
      </w:r>
      <w:r w:rsidRPr="001E6745">
        <w:t>. </w:t>
      </w:r>
      <w:r w:rsidR="00D37E7D" w:rsidRPr="00EF1FA7">
        <w:rPr>
          <w:i/>
          <w:iCs/>
        </w:rPr>
        <w:t xml:space="preserve">See </w:t>
      </w:r>
      <w:r w:rsidR="008B361F" w:rsidRPr="001E6745">
        <w:rPr>
          <w:i/>
          <w:iCs/>
        </w:rPr>
        <w:t xml:space="preserve">id. </w:t>
      </w:r>
      <w:r w:rsidR="001550FE" w:rsidRPr="00EF1FA7">
        <w:t>at</w:t>
      </w:r>
      <w:r w:rsidR="000124FE" w:rsidRPr="00EF1FA7">
        <w:t xml:space="preserve"> 766</w:t>
      </w:r>
      <w:r w:rsidR="00D37E7D" w:rsidRPr="00EF1FA7">
        <w:t xml:space="preserve"> (noting that later precedents and </w:t>
      </w:r>
      <w:r w:rsidR="00A57FC8" w:rsidRPr="00EF1FA7">
        <w:t>“</w:t>
      </w:r>
      <w:r w:rsidR="00D37E7D" w:rsidRPr="00EF1FA7">
        <w:t>the de facto development of bankruptcy court practice</w:t>
      </w:r>
      <w:r w:rsidR="003157C4" w:rsidRPr="00EF1FA7">
        <w:t xml:space="preserve"> </w:t>
      </w:r>
      <w:r w:rsidR="00D37E7D" w:rsidRPr="00EF1FA7">
        <w:t>. . .</w:t>
      </w:r>
      <w:r w:rsidR="003157C4" w:rsidRPr="00EF1FA7">
        <w:t xml:space="preserve"> </w:t>
      </w:r>
      <w:r w:rsidR="00D37E7D" w:rsidRPr="00EF1FA7">
        <w:t>resurrected much of the autonomy that Congress granted to bankruptcy judges in 1978”)</w:t>
      </w:r>
      <w:r w:rsidR="00DB29EE">
        <w:t>.</w:t>
      </w:r>
    </w:p>
  </w:footnote>
  <w:footnote w:id="199">
    <w:p w14:paraId="3D1303E5" w14:textId="6E8408F2"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 supra</w:t>
      </w:r>
      <w:r w:rsidRPr="006D3942">
        <w:t xml:space="preserve"> notes </w:t>
      </w:r>
      <w:r w:rsidR="00152D2B">
        <w:fldChar w:fldCharType="begin"/>
      </w:r>
      <w:r w:rsidR="00152D2B">
        <w:instrText xml:space="preserve"> NOTEREF _Ref177480460 \h </w:instrText>
      </w:r>
      <w:r w:rsidR="001E6745">
        <w:instrText xml:space="preserve"> \* MERGEFORMAT </w:instrText>
      </w:r>
      <w:r w:rsidR="00152D2B">
        <w:fldChar w:fldCharType="separate"/>
      </w:r>
      <w:r w:rsidR="00102CC5">
        <w:t>184</w:t>
      </w:r>
      <w:r w:rsidR="00152D2B">
        <w:fldChar w:fldCharType="end"/>
      </w:r>
      <w:r w:rsidR="00B41359">
        <w:t>–</w:t>
      </w:r>
      <w:r w:rsidR="00152D2B">
        <w:fldChar w:fldCharType="begin"/>
      </w:r>
      <w:r w:rsidR="00152D2B">
        <w:instrText xml:space="preserve"> NOTEREF _Ref177480479 \h </w:instrText>
      </w:r>
      <w:r w:rsidR="001E6745">
        <w:instrText xml:space="preserve"> \* MERGEFORMAT </w:instrText>
      </w:r>
      <w:r w:rsidR="00152D2B">
        <w:fldChar w:fldCharType="separate"/>
      </w:r>
      <w:r w:rsidR="00102CC5">
        <w:t>197</w:t>
      </w:r>
      <w:r w:rsidR="00152D2B">
        <w:fldChar w:fldCharType="end"/>
      </w:r>
      <w:r w:rsidR="00152D2B">
        <w:t xml:space="preserve"> </w:t>
      </w:r>
      <w:r w:rsidRPr="006D3942">
        <w:t>and accompanying text.</w:t>
      </w:r>
    </w:p>
  </w:footnote>
  <w:footnote w:id="200">
    <w:p w14:paraId="372F8DA3" w14:textId="1A4F3654"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 supra</w:t>
      </w:r>
      <w:r w:rsidRPr="006D3942">
        <w:t xml:space="preserve"> notes </w:t>
      </w:r>
      <w:r w:rsidR="00152D2B">
        <w:fldChar w:fldCharType="begin"/>
      </w:r>
      <w:r w:rsidR="00152D2B">
        <w:instrText xml:space="preserve"> NOTEREF _Ref177480492 \h </w:instrText>
      </w:r>
      <w:r w:rsidR="001E6745">
        <w:instrText xml:space="preserve"> \* MERGEFORMAT </w:instrText>
      </w:r>
      <w:r w:rsidR="00152D2B">
        <w:fldChar w:fldCharType="separate"/>
      </w:r>
      <w:r w:rsidR="00102CC5">
        <w:t>91</w:t>
      </w:r>
      <w:r w:rsidR="00152D2B">
        <w:fldChar w:fldCharType="end"/>
      </w:r>
      <w:r w:rsidR="00B41359">
        <w:t>–</w:t>
      </w:r>
      <w:r w:rsidR="00152D2B">
        <w:fldChar w:fldCharType="begin"/>
      </w:r>
      <w:r w:rsidR="00152D2B">
        <w:instrText xml:space="preserve"> NOTEREF _Ref177480503 \h </w:instrText>
      </w:r>
      <w:r w:rsidR="001E6745">
        <w:instrText xml:space="preserve"> \* MERGEFORMAT </w:instrText>
      </w:r>
      <w:r w:rsidR="00152D2B">
        <w:fldChar w:fldCharType="separate"/>
      </w:r>
      <w:r w:rsidR="00102CC5">
        <w:t>126</w:t>
      </w:r>
      <w:r w:rsidR="00152D2B">
        <w:fldChar w:fldCharType="end"/>
      </w:r>
      <w:r w:rsidRPr="006D3942">
        <w:t xml:space="preserve"> and accompanying text.</w:t>
      </w:r>
    </w:p>
  </w:footnote>
  <w:footnote w:id="201">
    <w:p w14:paraId="36597CD5" w14:textId="2B9353C4" w:rsidR="006D3942" w:rsidRPr="006D3942" w:rsidRDefault="006D3942" w:rsidP="00695136">
      <w:pPr>
        <w:pStyle w:val="FootNote"/>
      </w:pPr>
      <w:r w:rsidRPr="006D3942">
        <w:tab/>
      </w:r>
      <w:r w:rsidRPr="006D3942">
        <w:rPr>
          <w:rStyle w:val="NoteRefInNote"/>
        </w:rPr>
        <w:footnoteRef/>
      </w:r>
      <w:r w:rsidRPr="006D3942">
        <w:t>. </w:t>
      </w:r>
      <w:r w:rsidR="00D37E7D" w:rsidRPr="00564984">
        <w:rPr>
          <w:i/>
          <w:iCs/>
        </w:rPr>
        <w:t>See</w:t>
      </w:r>
      <w:r w:rsidR="00DC06A7" w:rsidRPr="001E6745">
        <w:rPr>
          <w:i/>
          <w:iCs/>
        </w:rPr>
        <w:t>,</w:t>
      </w:r>
      <w:r w:rsidR="00DC06A7">
        <w:t xml:space="preserve"> </w:t>
      </w:r>
      <w:r w:rsidR="00D37E7D" w:rsidRPr="00564984">
        <w:rPr>
          <w:i/>
          <w:iCs/>
        </w:rPr>
        <w:t>e.g.</w:t>
      </w:r>
      <w:r w:rsidR="00D37E7D">
        <w:t>,</w:t>
      </w:r>
      <w:r w:rsidR="00D37E7D" w:rsidRPr="00D37E7D">
        <w:t xml:space="preserve"> </w:t>
      </w:r>
      <w:r w:rsidRPr="006D3942">
        <w:t xml:space="preserve">Marks, </w:t>
      </w:r>
      <w:r w:rsidRPr="006D3942">
        <w:rPr>
          <w:i/>
          <w:iCs/>
        </w:rPr>
        <w:t>supra</w:t>
      </w:r>
      <w:r w:rsidRPr="006D3942">
        <w:t xml:space="preserve"> note</w:t>
      </w:r>
      <w:r w:rsidR="00EB3DFA">
        <w:t xml:space="preserve"> 11</w:t>
      </w:r>
      <w:r w:rsidR="009F2282">
        <w:t>5</w:t>
      </w:r>
      <w:r w:rsidRPr="006D3942">
        <w:t xml:space="preserve">, at </w:t>
      </w:r>
      <w:r w:rsidR="00D37E7D">
        <w:t>14–</w:t>
      </w:r>
      <w:r w:rsidRPr="006D3942">
        <w:t>15</w:t>
      </w:r>
      <w:r w:rsidR="00D37E7D">
        <w:t xml:space="preserve"> (discussing the need for decisional independence and calling for the creation of an Article I </w:t>
      </w:r>
      <w:r w:rsidR="00A57FC8">
        <w:t>i</w:t>
      </w:r>
      <w:r w:rsidR="00D37E7D">
        <w:t xml:space="preserve">mmigration </w:t>
      </w:r>
      <w:r w:rsidR="00A57FC8">
        <w:t>c</w:t>
      </w:r>
      <w:r w:rsidR="00D37E7D">
        <w:t>ourt)</w:t>
      </w:r>
      <w:r w:rsidRPr="006D3942">
        <w:t>.</w:t>
      </w:r>
    </w:p>
  </w:footnote>
  <w:footnote w:id="202">
    <w:p w14:paraId="6042A491" w14:textId="53192DB3"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 supra</w:t>
      </w:r>
      <w:r w:rsidRPr="006D3942">
        <w:t xml:space="preserve"> notes </w:t>
      </w:r>
      <w:r w:rsidR="00152D2B">
        <w:fldChar w:fldCharType="begin"/>
      </w:r>
      <w:r w:rsidR="00152D2B">
        <w:instrText xml:space="preserve"> NOTEREF _Ref177480525 \h </w:instrText>
      </w:r>
      <w:r w:rsidR="001E6745">
        <w:instrText xml:space="preserve"> \* MERGEFORMAT </w:instrText>
      </w:r>
      <w:r w:rsidR="00152D2B">
        <w:fldChar w:fldCharType="separate"/>
      </w:r>
      <w:r w:rsidR="00102CC5">
        <w:t>75</w:t>
      </w:r>
      <w:r w:rsidR="00152D2B">
        <w:fldChar w:fldCharType="end"/>
      </w:r>
      <w:r w:rsidR="00B41359">
        <w:t>–</w:t>
      </w:r>
      <w:r w:rsidR="00152D2B">
        <w:fldChar w:fldCharType="begin"/>
      </w:r>
      <w:r w:rsidR="00152D2B">
        <w:instrText xml:space="preserve"> NOTEREF _Ref177480533 \h </w:instrText>
      </w:r>
      <w:r w:rsidR="001E6745">
        <w:instrText xml:space="preserve"> \* MERGEFORMAT </w:instrText>
      </w:r>
      <w:r w:rsidR="00152D2B">
        <w:fldChar w:fldCharType="separate"/>
      </w:r>
      <w:r w:rsidR="00102CC5">
        <w:t>90</w:t>
      </w:r>
      <w:r w:rsidR="00152D2B">
        <w:fldChar w:fldCharType="end"/>
      </w:r>
      <w:r w:rsidRPr="006D3942">
        <w:t xml:space="preserve"> and accompanying text.</w:t>
      </w:r>
    </w:p>
  </w:footnote>
  <w:footnote w:id="203">
    <w:p w14:paraId="3DA74F43" w14:textId="1DAFD662" w:rsidR="006D3942" w:rsidRPr="006D3942" w:rsidRDefault="006D3942" w:rsidP="00695136">
      <w:pPr>
        <w:pStyle w:val="FootNote"/>
      </w:pPr>
      <w:r w:rsidRPr="006D3942">
        <w:tab/>
      </w:r>
      <w:r w:rsidRPr="006D3942">
        <w:rPr>
          <w:rStyle w:val="NoteRefInNote"/>
        </w:rPr>
        <w:footnoteRef/>
      </w:r>
      <w:r w:rsidRPr="006D3942">
        <w:t>. </w:t>
      </w:r>
      <w:r w:rsidR="006D4B02" w:rsidRPr="00564984">
        <w:rPr>
          <w:rStyle w:val="normaltextrun"/>
          <w:rFonts w:eastAsiaTheme="majorEastAsia"/>
          <w:color w:val="000000"/>
          <w:bdr w:val="none" w:sz="0" w:space="0" w:color="auto" w:frame="1"/>
        </w:rPr>
        <w:t>Benslimane v. Gonzales, 430 F.3d 828, 830 (7th Cir. 2005)</w:t>
      </w:r>
      <w:r w:rsidRPr="006D3942">
        <w:t>.</w:t>
      </w:r>
    </w:p>
  </w:footnote>
  <w:footnote w:id="204">
    <w:p w14:paraId="3565A2F9" w14:textId="3EEF92DF" w:rsidR="006D3942" w:rsidRPr="006D4B02" w:rsidRDefault="006D3942" w:rsidP="00695136">
      <w:pPr>
        <w:pStyle w:val="FootNote"/>
        <w:rPr>
          <w:iCs/>
        </w:rPr>
      </w:pPr>
      <w:r w:rsidRPr="006D3942">
        <w:rPr>
          <w:iCs/>
        </w:rPr>
        <w:tab/>
      </w:r>
      <w:r w:rsidRPr="006D4B02">
        <w:rPr>
          <w:rStyle w:val="NoteRefInNote"/>
        </w:rPr>
        <w:footnoteRef/>
      </w:r>
      <w:r w:rsidRPr="006D4B02">
        <w:rPr>
          <w:iCs/>
        </w:rPr>
        <w:t>. </w:t>
      </w:r>
      <w:r w:rsidR="006D4B02" w:rsidRPr="00564984">
        <w:rPr>
          <w:rStyle w:val="normaltextrun"/>
          <w:rFonts w:eastAsiaTheme="majorEastAsia"/>
          <w:i/>
          <w:iCs/>
          <w:color w:val="000000"/>
          <w:shd w:val="clear" w:color="auto" w:fill="FFFFFF"/>
        </w:rPr>
        <w:t xml:space="preserve">See </w:t>
      </w:r>
      <w:r w:rsidR="006D4B02" w:rsidRPr="00564984">
        <w:rPr>
          <w:rStyle w:val="normaltextrun"/>
          <w:rFonts w:eastAsiaTheme="majorEastAsia"/>
          <w:smallCaps/>
          <w:color w:val="000000"/>
          <w:shd w:val="clear" w:color="auto" w:fill="FFFFFF"/>
        </w:rPr>
        <w:t>Innovation L</w:t>
      </w:r>
      <w:r w:rsidR="006D4B02">
        <w:rPr>
          <w:rStyle w:val="normaltextrun"/>
          <w:rFonts w:eastAsiaTheme="majorEastAsia"/>
          <w:smallCaps/>
          <w:color w:val="000000"/>
          <w:shd w:val="clear" w:color="auto" w:fill="FFFFFF"/>
        </w:rPr>
        <w:t>.</w:t>
      </w:r>
      <w:r w:rsidR="006D4B02" w:rsidRPr="00564984">
        <w:rPr>
          <w:rStyle w:val="normaltextrun"/>
          <w:rFonts w:eastAsiaTheme="majorEastAsia"/>
          <w:smallCaps/>
          <w:color w:val="000000"/>
          <w:shd w:val="clear" w:color="auto" w:fill="FFFFFF"/>
        </w:rPr>
        <w:t xml:space="preserve"> Lab &amp; S. Poverty L</w:t>
      </w:r>
      <w:r w:rsidR="006D4B02">
        <w:rPr>
          <w:rStyle w:val="normaltextrun"/>
          <w:rFonts w:eastAsiaTheme="majorEastAsia"/>
          <w:smallCaps/>
          <w:color w:val="000000"/>
          <w:shd w:val="clear" w:color="auto" w:fill="FFFFFF"/>
        </w:rPr>
        <w:t>.</w:t>
      </w:r>
      <w:r w:rsidR="006D4B02" w:rsidRPr="00564984">
        <w:rPr>
          <w:rStyle w:val="normaltextrun"/>
          <w:rFonts w:eastAsiaTheme="majorEastAsia"/>
          <w:smallCaps/>
          <w:color w:val="000000"/>
          <w:shd w:val="clear" w:color="auto" w:fill="FFFFFF"/>
        </w:rPr>
        <w:t xml:space="preserve"> Ctr., The Attorney General’s Judges: How the U.S. Immigration Courts Became a Deportation Tool 8 </w:t>
      </w:r>
      <w:r w:rsidR="006D4B02" w:rsidRPr="00564984">
        <w:rPr>
          <w:rStyle w:val="normaltextrun"/>
          <w:rFonts w:eastAsiaTheme="majorEastAsia"/>
          <w:color w:val="000000"/>
          <w:shd w:val="clear" w:color="auto" w:fill="FFFFFF"/>
        </w:rPr>
        <w:t>(2019)</w:t>
      </w:r>
      <w:r w:rsidR="006D4B02">
        <w:rPr>
          <w:rStyle w:val="normaltextrun"/>
          <w:rFonts w:eastAsiaTheme="majorEastAsia"/>
          <w:color w:val="000000"/>
          <w:shd w:val="clear" w:color="auto" w:fill="FFFFFF"/>
        </w:rPr>
        <w:t xml:space="preserve"> (listing federal court judges’ critiques of immigration adjudication)</w:t>
      </w:r>
      <w:r w:rsidR="006D4B02" w:rsidRPr="00564984">
        <w:rPr>
          <w:rStyle w:val="normaltextrun"/>
          <w:rFonts w:eastAsiaTheme="majorEastAsia"/>
          <w:color w:val="000000"/>
          <w:shd w:val="clear" w:color="auto" w:fill="FFFFFF"/>
        </w:rPr>
        <w:t>.</w:t>
      </w:r>
    </w:p>
  </w:footnote>
  <w:footnote w:id="205">
    <w:p w14:paraId="3FA383EC" w14:textId="484EAC3C"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w:t>
      </w:r>
      <w:r w:rsidR="006D4B02" w:rsidRPr="006D3942">
        <w:t xml:space="preserve">Real Courts, Rule of Law Act of 2024, </w:t>
      </w:r>
      <w:r w:rsidRPr="006D3942">
        <w:t xml:space="preserve">H.R. 7724, 118th Cong. </w:t>
      </w:r>
      <w:r w:rsidR="006D4B02">
        <w:t>§</w:t>
      </w:r>
      <w:r w:rsidR="00EB3DFA">
        <w:t> </w:t>
      </w:r>
      <w:r w:rsidR="006D4B02">
        <w:t xml:space="preserve">601(b)(2)(A) </w:t>
      </w:r>
      <w:r w:rsidRPr="006D3942">
        <w:t>(2024) (</w:t>
      </w:r>
      <w:r w:rsidR="006D4B02">
        <w:t>providing that the immigration appellate judges would be appointed by the President and confirmed by the Senate</w:t>
      </w:r>
      <w:r w:rsidRPr="006D3942">
        <w:t>).</w:t>
      </w:r>
    </w:p>
  </w:footnote>
  <w:footnote w:id="206">
    <w:p w14:paraId="1FCDA862" w14:textId="7E16B0A9" w:rsidR="006D3942" w:rsidRPr="006D3942" w:rsidRDefault="006D3942" w:rsidP="00695136">
      <w:pPr>
        <w:pStyle w:val="FootNote"/>
        <w:rPr>
          <w:i/>
          <w:iCs/>
        </w:rPr>
      </w:pPr>
      <w:r w:rsidRPr="006D3942">
        <w:tab/>
      </w:r>
      <w:r w:rsidRPr="006D3942">
        <w:rPr>
          <w:rStyle w:val="NoteRefInNote"/>
        </w:rPr>
        <w:footnoteRef/>
      </w:r>
      <w:r w:rsidRPr="006D3942">
        <w:t xml:space="preserve">. Barros, </w:t>
      </w:r>
      <w:r w:rsidRPr="006D3942">
        <w:rPr>
          <w:i/>
          <w:iCs/>
        </w:rPr>
        <w:t>supra</w:t>
      </w:r>
      <w:r w:rsidRPr="006D3942">
        <w:t xml:space="preserve"> note </w:t>
      </w:r>
      <w:r w:rsidR="00EB3DFA">
        <w:t>13</w:t>
      </w:r>
      <w:r w:rsidR="009F2282">
        <w:t>9</w:t>
      </w:r>
      <w:r w:rsidRPr="006D3942">
        <w:t xml:space="preserve"> (emphasis added)</w:t>
      </w:r>
      <w:r w:rsidR="006D4B02">
        <w:t>.</w:t>
      </w:r>
    </w:p>
  </w:footnote>
  <w:footnote w:id="207">
    <w:p w14:paraId="29B735A1" w14:textId="71295C58"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Pr="006D3942">
        <w:t xml:space="preserve"> Catherine Y. Kim &amp; Amy Semet, </w:t>
      </w:r>
      <w:r w:rsidRPr="006D3942">
        <w:rPr>
          <w:i/>
          <w:iCs/>
        </w:rPr>
        <w:t>An Empirical Study of Political Control over Immigration Adjudication</w:t>
      </w:r>
      <w:r w:rsidRPr="006D3942">
        <w:t xml:space="preserve">, 108 </w:t>
      </w:r>
      <w:r w:rsidRPr="006D3942">
        <w:rPr>
          <w:smallCaps/>
        </w:rPr>
        <w:t>Geo. L.J</w:t>
      </w:r>
      <w:r w:rsidRPr="006D3942">
        <w:t>. 579, 6</w:t>
      </w:r>
      <w:r w:rsidR="006D4B02">
        <w:t>30</w:t>
      </w:r>
      <w:r w:rsidR="00B41359">
        <w:t xml:space="preserve"> </w:t>
      </w:r>
      <w:r w:rsidRPr="006D3942">
        <w:t xml:space="preserve">(2020) (finding that under the current system, </w:t>
      </w:r>
      <w:r w:rsidR="006D4B02" w:rsidRPr="006D4B02">
        <w:t xml:space="preserve">the political party in control of the Executive </w:t>
      </w:r>
      <w:r w:rsidR="008B756D" w:rsidRPr="006D4B02">
        <w:t>Branch</w:t>
      </w:r>
      <w:r w:rsidR="008B756D">
        <w:t xml:space="preserve"> measurably</w:t>
      </w:r>
      <w:r w:rsidR="006D4B02" w:rsidRPr="006D4B02">
        <w:t xml:space="preserve"> affects IJ decisions</w:t>
      </w:r>
      <w:r w:rsidR="00A57FC8">
        <w:t>,</w:t>
      </w:r>
      <w:r w:rsidR="008B756D">
        <w:t xml:space="preserve"> </w:t>
      </w:r>
      <w:r w:rsidR="006D4B02" w:rsidRPr="006D4B02">
        <w:t>including the likelihood of removal</w:t>
      </w:r>
      <w:r w:rsidRPr="006D3942">
        <w:t>).</w:t>
      </w:r>
    </w:p>
  </w:footnote>
  <w:footnote w:id="208">
    <w:p w14:paraId="00FA2A13" w14:textId="4400289D" w:rsidR="006D3942" w:rsidRPr="006D3942" w:rsidRDefault="006D3942" w:rsidP="00695136">
      <w:pPr>
        <w:pStyle w:val="FootNote"/>
      </w:pPr>
      <w:r w:rsidRPr="006D3942">
        <w:rPr>
          <w:iCs/>
        </w:rPr>
        <w:tab/>
      </w:r>
      <w:r w:rsidRPr="006D3942">
        <w:rPr>
          <w:rStyle w:val="NoteRefInNote"/>
        </w:rPr>
        <w:footnoteRef/>
      </w:r>
      <w:r w:rsidRPr="006D3942">
        <w:rPr>
          <w:iCs/>
        </w:rPr>
        <w:t>. </w:t>
      </w:r>
      <w:r w:rsidRPr="006D3942">
        <w:rPr>
          <w:i/>
          <w:iCs/>
        </w:rPr>
        <w:t>See</w:t>
      </w:r>
      <w:r w:rsidR="006D4B02">
        <w:rPr>
          <w:i/>
          <w:iCs/>
        </w:rPr>
        <w:t xml:space="preserve"> supra</w:t>
      </w:r>
      <w:r w:rsidRPr="006D3942">
        <w:t xml:space="preserve"> </w:t>
      </w:r>
      <w:r w:rsidR="006D4B02">
        <w:t xml:space="preserve">note </w:t>
      </w:r>
      <w:r w:rsidR="006D4B02">
        <w:fldChar w:fldCharType="begin"/>
      </w:r>
      <w:r w:rsidR="006D4B02">
        <w:instrText xml:space="preserve"> NOTEREF _Ref181550109 \h </w:instrText>
      </w:r>
      <w:r w:rsidR="001E6745">
        <w:instrText xml:space="preserve"> \* MERGEFORMAT </w:instrText>
      </w:r>
      <w:r w:rsidR="006D4B02">
        <w:fldChar w:fldCharType="separate"/>
      </w:r>
      <w:r w:rsidR="00102CC5">
        <w:t>127</w:t>
      </w:r>
      <w:r w:rsidR="006D4B02">
        <w:fldChar w:fldCharType="end"/>
      </w:r>
      <w:r w:rsidR="006D4B02">
        <w:t xml:space="preserve"> and accompanying text</w:t>
      </w:r>
      <w:r w:rsidRPr="006D3942">
        <w:t>.</w:t>
      </w:r>
    </w:p>
  </w:footnote>
  <w:footnote w:id="209">
    <w:p w14:paraId="7CB527B5" w14:textId="5D639589" w:rsidR="00BB0160" w:rsidRPr="00EF1FA7" w:rsidRDefault="00EF1FA7" w:rsidP="00695136">
      <w:pPr>
        <w:pStyle w:val="FootNote"/>
      </w:pPr>
      <w:r w:rsidRPr="001E6745">
        <w:tab/>
      </w:r>
      <w:r w:rsidR="00BB0160" w:rsidRPr="001E6745">
        <w:rPr>
          <w:rStyle w:val="NoteRefInNote"/>
        </w:rPr>
        <w:footnoteRef/>
      </w:r>
      <w:r w:rsidRPr="001E6745">
        <w:t>. </w:t>
      </w:r>
      <w:r w:rsidR="00D72F89" w:rsidRPr="00EF1FA7">
        <w:rPr>
          <w:i/>
          <w:iCs/>
        </w:rPr>
        <w:t>See</w:t>
      </w:r>
      <w:r w:rsidR="00D72F89" w:rsidRPr="00EF1FA7">
        <w:t xml:space="preserve"> </w:t>
      </w:r>
      <w:r w:rsidR="00FE550E" w:rsidRPr="00EF1FA7">
        <w:rPr>
          <w:i/>
          <w:iCs/>
        </w:rPr>
        <w:t>ArtI.S7.C2.2 Veto Power</w:t>
      </w:r>
      <w:r w:rsidR="00FE550E" w:rsidRPr="00EF1FA7">
        <w:t xml:space="preserve">, </w:t>
      </w:r>
      <w:r w:rsidR="00FE550E" w:rsidRPr="00EF1FA7">
        <w:rPr>
          <w:smallCaps/>
        </w:rPr>
        <w:t>Const. Annotated</w:t>
      </w:r>
      <w:r w:rsidR="00FE550E" w:rsidRPr="00EF1FA7">
        <w:t xml:space="preserve">, </w:t>
      </w:r>
      <w:r w:rsidR="00303BEE" w:rsidRPr="00EF1FA7">
        <w:t>https://constitution.congress.gov</w:t>
      </w:r>
      <w:r w:rsidR="00303BEE" w:rsidRPr="001E6745">
        <w:br/>
      </w:r>
      <w:r w:rsidR="00FE550E" w:rsidRPr="00EF1FA7">
        <w:t>/browse/essay/artI-S7-C2-2/ALDE_00013645/ [https://perma.cc/H2EP-LCNS]</w:t>
      </w:r>
      <w:r w:rsidR="00FE550E" w:rsidRPr="00EF1FA7" w:rsidDel="00FE550E">
        <w:t xml:space="preserve"> </w:t>
      </w:r>
      <w:r w:rsidR="00D72F89" w:rsidRPr="00EF1FA7">
        <w:t xml:space="preserve">(describing </w:t>
      </w:r>
      <w:r w:rsidR="00FE550E" w:rsidRPr="00EF1FA7">
        <w:t xml:space="preserve">how Congress can override a presidential veto with a two-thirds vote in both chambers). </w:t>
      </w:r>
    </w:p>
  </w:footnote>
  <w:footnote w:id="210">
    <w:p w14:paraId="529A49AB" w14:textId="11EB6020" w:rsidR="00A57FC8" w:rsidRPr="001E6745" w:rsidRDefault="00EF1FA7" w:rsidP="00695136">
      <w:pPr>
        <w:pStyle w:val="FootNote"/>
        <w:rPr>
          <w:highlight w:val="yellow"/>
        </w:rPr>
      </w:pPr>
      <w:r w:rsidRPr="001E6745">
        <w:tab/>
      </w:r>
      <w:r w:rsidR="0083262E" w:rsidRPr="001E6745">
        <w:rPr>
          <w:rStyle w:val="NoteRefInNote"/>
        </w:rPr>
        <w:footnoteRef/>
      </w:r>
      <w:r w:rsidRPr="001E6745">
        <w:t>. </w:t>
      </w:r>
      <w:r w:rsidR="004876A5" w:rsidRPr="00EF1FA7">
        <w:rPr>
          <w:i/>
          <w:iCs/>
        </w:rPr>
        <w:t>Vetoes, 1789 to Present</w:t>
      </w:r>
      <w:r w:rsidR="004876A5" w:rsidRPr="00EF1FA7">
        <w:t>,</w:t>
      </w:r>
      <w:r w:rsidR="002B17A0" w:rsidRPr="00EF1FA7">
        <w:t xml:space="preserve"> </w:t>
      </w:r>
      <w:r w:rsidR="00FE550E" w:rsidRPr="00EF1FA7">
        <w:rPr>
          <w:smallCaps/>
        </w:rPr>
        <w:t>U.S. Senate,</w:t>
      </w:r>
      <w:r w:rsidR="00A57FC8" w:rsidRPr="00EF1FA7">
        <w:t xml:space="preserve"> </w:t>
      </w:r>
      <w:r w:rsidRPr="00EF1FA7">
        <w:t>https://www.senate.gov/legislative/vetoes</w:t>
      </w:r>
      <w:r w:rsidRPr="001E6745">
        <w:br/>
      </w:r>
      <w:r w:rsidR="00FE550E" w:rsidRPr="00EF1FA7">
        <w:t>/vetoCounts.htm [https://perma.cc/WJT5-Q6B8]</w:t>
      </w:r>
      <w:r w:rsidR="001550FE" w:rsidRPr="00EF1FA7">
        <w:t>.</w:t>
      </w:r>
    </w:p>
  </w:footnote>
  <w:footnote w:id="211">
    <w:p w14:paraId="09D1BC9A" w14:textId="45846EDD" w:rsidR="00075952" w:rsidRPr="00EF1FA7" w:rsidRDefault="00EF1FA7" w:rsidP="00695136">
      <w:pPr>
        <w:pStyle w:val="FootNote"/>
      </w:pPr>
      <w:r w:rsidRPr="001E6745">
        <w:tab/>
      </w:r>
      <w:r w:rsidR="00075952" w:rsidRPr="001E6745">
        <w:rPr>
          <w:rStyle w:val="NoteRefInNote"/>
        </w:rPr>
        <w:footnoteRef/>
      </w:r>
      <w:r w:rsidRPr="001E6745">
        <w:t>. </w:t>
      </w:r>
      <w:r w:rsidR="00A57FC8" w:rsidRPr="00EF1FA7">
        <w:rPr>
          <w:i/>
          <w:iCs/>
        </w:rPr>
        <w:t xml:space="preserve">See </w:t>
      </w:r>
      <w:r w:rsidR="00FE550E" w:rsidRPr="00EF1FA7">
        <w:rPr>
          <w:rStyle w:val="normaltextrun"/>
          <w:smallCaps/>
          <w:color w:val="000000"/>
          <w:szCs w:val="17"/>
          <w:shd w:val="clear" w:color="auto" w:fill="FFFFFF"/>
        </w:rPr>
        <w:t>The Federalist</w:t>
      </w:r>
      <w:r w:rsidR="00FE550E" w:rsidRPr="00EF1FA7">
        <w:rPr>
          <w:rStyle w:val="normaltextrun"/>
          <w:color w:val="000000"/>
          <w:szCs w:val="17"/>
          <w:shd w:val="clear" w:color="auto" w:fill="FFFFFF"/>
        </w:rPr>
        <w:t xml:space="preserve"> </w:t>
      </w:r>
      <w:r w:rsidR="00FE550E" w:rsidRPr="00EF1FA7">
        <w:rPr>
          <w:rStyle w:val="normaltextrun"/>
          <w:smallCaps/>
          <w:color w:val="000000"/>
          <w:szCs w:val="17"/>
          <w:shd w:val="clear" w:color="auto" w:fill="FFFFFF"/>
        </w:rPr>
        <w:t>No.</w:t>
      </w:r>
      <w:r w:rsidR="00FE550E" w:rsidRPr="00EF1FA7">
        <w:rPr>
          <w:rStyle w:val="normaltextrun"/>
          <w:color w:val="000000"/>
          <w:szCs w:val="17"/>
          <w:shd w:val="clear" w:color="auto" w:fill="FFFFFF"/>
        </w:rPr>
        <w:t xml:space="preserve"> 78, at 465–66 (Alexander Hamilton) (Clinton Rossiter ed., 1961)</w:t>
      </w:r>
      <w:r w:rsidR="00A57FC8" w:rsidRPr="00EF1FA7">
        <w:rPr>
          <w:rStyle w:val="eop"/>
          <w:color w:val="000000"/>
          <w:shd w:val="clear" w:color="auto" w:fill="FFFFFF"/>
        </w:rPr>
        <w:t xml:space="preserve"> </w:t>
      </w:r>
      <w:r w:rsidR="00A57FC8" w:rsidRPr="00EF1FA7">
        <w:rPr>
          <w:rStyle w:val="eop"/>
          <w:color w:val="000000"/>
          <w:szCs w:val="17"/>
          <w:shd w:val="clear" w:color="auto" w:fill="FFFFFF"/>
        </w:rPr>
        <w:t>(“[T]he judiciary is beyond comparison the weakest of the three departments of power</w:t>
      </w:r>
      <w:r>
        <w:rPr>
          <w:rStyle w:val="eop"/>
          <w:color w:val="000000"/>
          <w:szCs w:val="17"/>
          <w:shd w:val="clear" w:color="auto" w:fill="FFFFFF"/>
        </w:rPr>
        <w:t xml:space="preserve"> . . . </w:t>
      </w:r>
      <w:r w:rsidR="00A57FC8" w:rsidRPr="00EF1FA7">
        <w:rPr>
          <w:rStyle w:val="eop"/>
          <w:color w:val="000000"/>
          <w:szCs w:val="17"/>
          <w:shd w:val="clear" w:color="auto" w:fill="FFFFFF"/>
        </w:rPr>
        <w:t>it can never attack with success either of the other two</w:t>
      </w:r>
      <w:r w:rsidRPr="001E6745">
        <w:rPr>
          <w:rStyle w:val="eop"/>
          <w:color w:val="000000"/>
          <w:szCs w:val="17"/>
          <w:shd w:val="clear" w:color="auto" w:fill="FFFFFF"/>
        </w:rPr>
        <w:t xml:space="preserve"> . . . .</w:t>
      </w:r>
      <w:r w:rsidR="00A57FC8" w:rsidRPr="00EF1FA7">
        <w:rPr>
          <w:rStyle w:val="eop"/>
          <w:color w:val="000000"/>
          <w:szCs w:val="17"/>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886B" w14:textId="06C87E9E" w:rsidR="006D3942" w:rsidRPr="006D3942" w:rsidRDefault="006D3942" w:rsidP="006D3942">
    <w:pPr>
      <w:pStyle w:val="LawHeaderEven"/>
    </w:pPr>
    <w:r>
      <w:fldChar w:fldCharType="begin"/>
    </w:r>
    <w:r>
      <w:instrText xml:space="preserve"> PAGE  \* MERGEFORMAT </w:instrText>
    </w:r>
    <w:r>
      <w:fldChar w:fldCharType="separate"/>
    </w:r>
    <w:r>
      <w:rPr>
        <w:noProof/>
      </w:rPr>
      <w:t>4</w:t>
    </w:r>
    <w:r>
      <w:fldChar w:fldCharType="end"/>
    </w:r>
    <w:r>
      <w:tab/>
      <w:t>Texas Law Review</w:t>
    </w:r>
    <w:r>
      <w:tab/>
      <w:t>[Vol. 103:</w:t>
    </w:r>
    <w:r w:rsidR="00990764">
      <w:t>887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B44E" w14:textId="03341BCF" w:rsidR="006D3942" w:rsidRPr="006D3942" w:rsidRDefault="006D3942" w:rsidP="006D3942">
    <w:pPr>
      <w:pStyle w:val="LawHeaderOdd"/>
    </w:pPr>
    <w:r>
      <w:t>2025]</w:t>
    </w:r>
    <w:r>
      <w:tab/>
    </w:r>
    <w:r w:rsidR="00990764">
      <w:t xml:space="preserve">Towards </w:t>
    </w:r>
    <w:r>
      <w:t>Transforming Immigration Courts</w:t>
    </w:r>
    <w:r>
      <w:tab/>
    </w:r>
    <w:r>
      <w:fldChar w:fldCharType="begin"/>
    </w:r>
    <w:r>
      <w:instrText xml:space="preserve"> PAGE  \* MERGEFORMAT </w:instrText>
    </w:r>
    <w:r>
      <w:fldChar w:fldCharType="separate"/>
    </w:r>
    <w:r>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DEF9" w14:textId="77777777" w:rsidR="006D3942" w:rsidRPr="006D3942" w:rsidRDefault="006D3942" w:rsidP="006D3942">
    <w:pPr>
      <w:pStyle w:val="Header"/>
      <w:spacing w:before="920"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24D"/>
    <w:multiLevelType w:val="hybridMultilevel"/>
    <w:tmpl w:val="31B0A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32C6"/>
    <w:multiLevelType w:val="hybridMultilevel"/>
    <w:tmpl w:val="4180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340D"/>
    <w:multiLevelType w:val="hybridMultilevel"/>
    <w:tmpl w:val="3E7A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31368"/>
    <w:multiLevelType w:val="hybridMultilevel"/>
    <w:tmpl w:val="46E8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852E3"/>
    <w:multiLevelType w:val="hybridMultilevel"/>
    <w:tmpl w:val="4C9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90DF2"/>
    <w:multiLevelType w:val="hybridMultilevel"/>
    <w:tmpl w:val="58D2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47D98"/>
    <w:multiLevelType w:val="hybridMultilevel"/>
    <w:tmpl w:val="0F32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630BD"/>
    <w:multiLevelType w:val="hybridMultilevel"/>
    <w:tmpl w:val="56740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3051A"/>
    <w:multiLevelType w:val="hybridMultilevel"/>
    <w:tmpl w:val="25F0DA80"/>
    <w:lvl w:ilvl="0" w:tplc="C450D9D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572866AE"/>
    <w:multiLevelType w:val="hybridMultilevel"/>
    <w:tmpl w:val="F73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37600"/>
    <w:multiLevelType w:val="hybridMultilevel"/>
    <w:tmpl w:val="86807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926869">
    <w:abstractNumId w:val="2"/>
  </w:num>
  <w:num w:numId="2" w16cid:durableId="1825705458">
    <w:abstractNumId w:val="3"/>
  </w:num>
  <w:num w:numId="3" w16cid:durableId="109324085">
    <w:abstractNumId w:val="6"/>
  </w:num>
  <w:num w:numId="4" w16cid:durableId="688027889">
    <w:abstractNumId w:val="0"/>
  </w:num>
  <w:num w:numId="5" w16cid:durableId="178664899">
    <w:abstractNumId w:val="4"/>
  </w:num>
  <w:num w:numId="6" w16cid:durableId="1592276883">
    <w:abstractNumId w:val="5"/>
  </w:num>
  <w:num w:numId="7" w16cid:durableId="1183318107">
    <w:abstractNumId w:val="9"/>
  </w:num>
  <w:num w:numId="8" w16cid:durableId="1869444694">
    <w:abstractNumId w:val="1"/>
  </w:num>
  <w:num w:numId="9" w16cid:durableId="917207336">
    <w:abstractNumId w:val="10"/>
  </w:num>
  <w:num w:numId="10" w16cid:durableId="1069574055">
    <w:abstractNumId w:val="7"/>
  </w:num>
  <w:num w:numId="11" w16cid:durableId="341246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42"/>
    <w:rsid w:val="00001207"/>
    <w:rsid w:val="00002D3D"/>
    <w:rsid w:val="00003113"/>
    <w:rsid w:val="00004AF2"/>
    <w:rsid w:val="00005896"/>
    <w:rsid w:val="00006E52"/>
    <w:rsid w:val="000079DE"/>
    <w:rsid w:val="000124FE"/>
    <w:rsid w:val="00013AC1"/>
    <w:rsid w:val="00017E70"/>
    <w:rsid w:val="00020E1A"/>
    <w:rsid w:val="0002186D"/>
    <w:rsid w:val="00023E67"/>
    <w:rsid w:val="00024FD4"/>
    <w:rsid w:val="0002631C"/>
    <w:rsid w:val="00027BC6"/>
    <w:rsid w:val="00031FDC"/>
    <w:rsid w:val="00033B1E"/>
    <w:rsid w:val="00036253"/>
    <w:rsid w:val="00040CDA"/>
    <w:rsid w:val="0004229C"/>
    <w:rsid w:val="00046698"/>
    <w:rsid w:val="000502F6"/>
    <w:rsid w:val="00050E9D"/>
    <w:rsid w:val="00062899"/>
    <w:rsid w:val="0006476B"/>
    <w:rsid w:val="000654EB"/>
    <w:rsid w:val="00065A61"/>
    <w:rsid w:val="000724A4"/>
    <w:rsid w:val="000745E6"/>
    <w:rsid w:val="00075952"/>
    <w:rsid w:val="00075FF5"/>
    <w:rsid w:val="000766D2"/>
    <w:rsid w:val="00081374"/>
    <w:rsid w:val="00081CDA"/>
    <w:rsid w:val="00081D83"/>
    <w:rsid w:val="00083331"/>
    <w:rsid w:val="00083806"/>
    <w:rsid w:val="00084A05"/>
    <w:rsid w:val="00084BD7"/>
    <w:rsid w:val="00084CF8"/>
    <w:rsid w:val="0009003E"/>
    <w:rsid w:val="00090425"/>
    <w:rsid w:val="00090501"/>
    <w:rsid w:val="00092F8A"/>
    <w:rsid w:val="00093E6E"/>
    <w:rsid w:val="00095B36"/>
    <w:rsid w:val="00095BF6"/>
    <w:rsid w:val="00095C84"/>
    <w:rsid w:val="000A5806"/>
    <w:rsid w:val="000A716E"/>
    <w:rsid w:val="000B1217"/>
    <w:rsid w:val="000B3601"/>
    <w:rsid w:val="000B3CA1"/>
    <w:rsid w:val="000B7AF4"/>
    <w:rsid w:val="000B7B34"/>
    <w:rsid w:val="000C293D"/>
    <w:rsid w:val="000D06F4"/>
    <w:rsid w:val="000D2D77"/>
    <w:rsid w:val="000D4687"/>
    <w:rsid w:val="000D61B9"/>
    <w:rsid w:val="000D6F5F"/>
    <w:rsid w:val="000D6F97"/>
    <w:rsid w:val="000E0F8D"/>
    <w:rsid w:val="000E33D0"/>
    <w:rsid w:val="000E3E0F"/>
    <w:rsid w:val="000E63E5"/>
    <w:rsid w:val="000E6D8D"/>
    <w:rsid w:val="000F2998"/>
    <w:rsid w:val="000F4D61"/>
    <w:rsid w:val="000F5B10"/>
    <w:rsid w:val="00100774"/>
    <w:rsid w:val="00102343"/>
    <w:rsid w:val="00102A59"/>
    <w:rsid w:val="00102CC5"/>
    <w:rsid w:val="00103A69"/>
    <w:rsid w:val="00106D5A"/>
    <w:rsid w:val="001101B8"/>
    <w:rsid w:val="00112362"/>
    <w:rsid w:val="001170BC"/>
    <w:rsid w:val="00121B71"/>
    <w:rsid w:val="0013377A"/>
    <w:rsid w:val="00135478"/>
    <w:rsid w:val="0013697A"/>
    <w:rsid w:val="00137AE7"/>
    <w:rsid w:val="00140B3C"/>
    <w:rsid w:val="00142816"/>
    <w:rsid w:val="00142F87"/>
    <w:rsid w:val="0014356F"/>
    <w:rsid w:val="00144DA1"/>
    <w:rsid w:val="00144E82"/>
    <w:rsid w:val="00147308"/>
    <w:rsid w:val="001506D8"/>
    <w:rsid w:val="00151336"/>
    <w:rsid w:val="001520C6"/>
    <w:rsid w:val="00152D2B"/>
    <w:rsid w:val="001550FE"/>
    <w:rsid w:val="00155F6D"/>
    <w:rsid w:val="00156997"/>
    <w:rsid w:val="00166359"/>
    <w:rsid w:val="0016795C"/>
    <w:rsid w:val="00173500"/>
    <w:rsid w:val="00174A5A"/>
    <w:rsid w:val="001777EB"/>
    <w:rsid w:val="00181D7D"/>
    <w:rsid w:val="00184490"/>
    <w:rsid w:val="00187C4D"/>
    <w:rsid w:val="0019094F"/>
    <w:rsid w:val="00191178"/>
    <w:rsid w:val="00191A8D"/>
    <w:rsid w:val="00192268"/>
    <w:rsid w:val="001A122E"/>
    <w:rsid w:val="001A4B55"/>
    <w:rsid w:val="001B0A52"/>
    <w:rsid w:val="001B5925"/>
    <w:rsid w:val="001B6A2E"/>
    <w:rsid w:val="001C3964"/>
    <w:rsid w:val="001C43D9"/>
    <w:rsid w:val="001C6AC8"/>
    <w:rsid w:val="001D177A"/>
    <w:rsid w:val="001D59E4"/>
    <w:rsid w:val="001D617A"/>
    <w:rsid w:val="001E0A5B"/>
    <w:rsid w:val="001E4761"/>
    <w:rsid w:val="001E52C6"/>
    <w:rsid w:val="001E6745"/>
    <w:rsid w:val="001F224C"/>
    <w:rsid w:val="001F2EC7"/>
    <w:rsid w:val="001F6B4E"/>
    <w:rsid w:val="001F6C9B"/>
    <w:rsid w:val="0020099C"/>
    <w:rsid w:val="002021FF"/>
    <w:rsid w:val="00203CF9"/>
    <w:rsid w:val="00210803"/>
    <w:rsid w:val="00213526"/>
    <w:rsid w:val="002140B1"/>
    <w:rsid w:val="00214B6B"/>
    <w:rsid w:val="00214BDA"/>
    <w:rsid w:val="00220827"/>
    <w:rsid w:val="00227125"/>
    <w:rsid w:val="00232F72"/>
    <w:rsid w:val="00237AAE"/>
    <w:rsid w:val="00237AF3"/>
    <w:rsid w:val="00237EB0"/>
    <w:rsid w:val="002448B6"/>
    <w:rsid w:val="00244D6E"/>
    <w:rsid w:val="00244F5C"/>
    <w:rsid w:val="00250459"/>
    <w:rsid w:val="0025365B"/>
    <w:rsid w:val="00255A9E"/>
    <w:rsid w:val="002561A4"/>
    <w:rsid w:val="00257947"/>
    <w:rsid w:val="002627E4"/>
    <w:rsid w:val="0026680C"/>
    <w:rsid w:val="00267478"/>
    <w:rsid w:val="00270EAB"/>
    <w:rsid w:val="0027127D"/>
    <w:rsid w:val="00273780"/>
    <w:rsid w:val="00276B6E"/>
    <w:rsid w:val="00280FD6"/>
    <w:rsid w:val="0028323C"/>
    <w:rsid w:val="00283358"/>
    <w:rsid w:val="00283E0A"/>
    <w:rsid w:val="002852F9"/>
    <w:rsid w:val="00286B11"/>
    <w:rsid w:val="002879EB"/>
    <w:rsid w:val="00291201"/>
    <w:rsid w:val="0029175F"/>
    <w:rsid w:val="00292890"/>
    <w:rsid w:val="00293CED"/>
    <w:rsid w:val="0029540A"/>
    <w:rsid w:val="00295F26"/>
    <w:rsid w:val="00297A95"/>
    <w:rsid w:val="002A1EE7"/>
    <w:rsid w:val="002A20AA"/>
    <w:rsid w:val="002A2428"/>
    <w:rsid w:val="002A4C44"/>
    <w:rsid w:val="002B17A0"/>
    <w:rsid w:val="002B385F"/>
    <w:rsid w:val="002B4571"/>
    <w:rsid w:val="002B6198"/>
    <w:rsid w:val="002C0E72"/>
    <w:rsid w:val="002C3AC8"/>
    <w:rsid w:val="002C4CAC"/>
    <w:rsid w:val="002C57E7"/>
    <w:rsid w:val="002C5DC2"/>
    <w:rsid w:val="002C6786"/>
    <w:rsid w:val="002C7B90"/>
    <w:rsid w:val="002D2320"/>
    <w:rsid w:val="002D31E4"/>
    <w:rsid w:val="002D39DD"/>
    <w:rsid w:val="002D3BF4"/>
    <w:rsid w:val="002D5386"/>
    <w:rsid w:val="002D730A"/>
    <w:rsid w:val="002D744E"/>
    <w:rsid w:val="002E0A62"/>
    <w:rsid w:val="002E1971"/>
    <w:rsid w:val="002F27C9"/>
    <w:rsid w:val="002F3E31"/>
    <w:rsid w:val="002F3F14"/>
    <w:rsid w:val="002F457F"/>
    <w:rsid w:val="002F56FE"/>
    <w:rsid w:val="002F5FA9"/>
    <w:rsid w:val="002F7D2B"/>
    <w:rsid w:val="002F7DBF"/>
    <w:rsid w:val="0030047E"/>
    <w:rsid w:val="003010B7"/>
    <w:rsid w:val="00301F98"/>
    <w:rsid w:val="00302216"/>
    <w:rsid w:val="00302F0D"/>
    <w:rsid w:val="00303BEE"/>
    <w:rsid w:val="00304B80"/>
    <w:rsid w:val="00306C6F"/>
    <w:rsid w:val="00307EEC"/>
    <w:rsid w:val="003109E7"/>
    <w:rsid w:val="003116ED"/>
    <w:rsid w:val="00311F19"/>
    <w:rsid w:val="00314529"/>
    <w:rsid w:val="003157C4"/>
    <w:rsid w:val="003160C0"/>
    <w:rsid w:val="00325DC1"/>
    <w:rsid w:val="0032712E"/>
    <w:rsid w:val="00327826"/>
    <w:rsid w:val="00331485"/>
    <w:rsid w:val="00332888"/>
    <w:rsid w:val="00333731"/>
    <w:rsid w:val="003340CD"/>
    <w:rsid w:val="003355D6"/>
    <w:rsid w:val="0033676E"/>
    <w:rsid w:val="00337AB7"/>
    <w:rsid w:val="00341038"/>
    <w:rsid w:val="00345BEE"/>
    <w:rsid w:val="0035098E"/>
    <w:rsid w:val="00350C7C"/>
    <w:rsid w:val="0035140B"/>
    <w:rsid w:val="00352664"/>
    <w:rsid w:val="00355B65"/>
    <w:rsid w:val="00360909"/>
    <w:rsid w:val="00362639"/>
    <w:rsid w:val="00362FEF"/>
    <w:rsid w:val="00363213"/>
    <w:rsid w:val="00363B22"/>
    <w:rsid w:val="003654A1"/>
    <w:rsid w:val="00370999"/>
    <w:rsid w:val="00371200"/>
    <w:rsid w:val="00373A30"/>
    <w:rsid w:val="003741D1"/>
    <w:rsid w:val="003761C9"/>
    <w:rsid w:val="00376B2A"/>
    <w:rsid w:val="003776AE"/>
    <w:rsid w:val="0038292A"/>
    <w:rsid w:val="00382E65"/>
    <w:rsid w:val="003855F0"/>
    <w:rsid w:val="00387587"/>
    <w:rsid w:val="00390106"/>
    <w:rsid w:val="003959CE"/>
    <w:rsid w:val="00395F65"/>
    <w:rsid w:val="00395F90"/>
    <w:rsid w:val="00396052"/>
    <w:rsid w:val="00396441"/>
    <w:rsid w:val="003A09A7"/>
    <w:rsid w:val="003A10C0"/>
    <w:rsid w:val="003A3532"/>
    <w:rsid w:val="003A4882"/>
    <w:rsid w:val="003A4CAE"/>
    <w:rsid w:val="003A7E78"/>
    <w:rsid w:val="003B38CB"/>
    <w:rsid w:val="003B6642"/>
    <w:rsid w:val="003B67C1"/>
    <w:rsid w:val="003B6C5F"/>
    <w:rsid w:val="003C0B55"/>
    <w:rsid w:val="003C17A3"/>
    <w:rsid w:val="003C3F35"/>
    <w:rsid w:val="003C4AFF"/>
    <w:rsid w:val="003C4CFD"/>
    <w:rsid w:val="003C6EC4"/>
    <w:rsid w:val="003C71FF"/>
    <w:rsid w:val="003D1147"/>
    <w:rsid w:val="003D23F6"/>
    <w:rsid w:val="003D30BE"/>
    <w:rsid w:val="003D3464"/>
    <w:rsid w:val="003D456B"/>
    <w:rsid w:val="003D680E"/>
    <w:rsid w:val="003E0785"/>
    <w:rsid w:val="003E1438"/>
    <w:rsid w:val="003E1A82"/>
    <w:rsid w:val="003E2BB4"/>
    <w:rsid w:val="003E318D"/>
    <w:rsid w:val="003E3A21"/>
    <w:rsid w:val="003F0FF9"/>
    <w:rsid w:val="003F11E6"/>
    <w:rsid w:val="003F4828"/>
    <w:rsid w:val="003F6941"/>
    <w:rsid w:val="00404FD2"/>
    <w:rsid w:val="004140BB"/>
    <w:rsid w:val="00415D0F"/>
    <w:rsid w:val="004179C2"/>
    <w:rsid w:val="004229D4"/>
    <w:rsid w:val="00422F8A"/>
    <w:rsid w:val="0042300C"/>
    <w:rsid w:val="0042664C"/>
    <w:rsid w:val="0042734F"/>
    <w:rsid w:val="00430F02"/>
    <w:rsid w:val="00431B06"/>
    <w:rsid w:val="00443008"/>
    <w:rsid w:val="00444988"/>
    <w:rsid w:val="00451895"/>
    <w:rsid w:val="00453F41"/>
    <w:rsid w:val="004551C7"/>
    <w:rsid w:val="00463A9E"/>
    <w:rsid w:val="0046481C"/>
    <w:rsid w:val="00465089"/>
    <w:rsid w:val="004662D6"/>
    <w:rsid w:val="004717E4"/>
    <w:rsid w:val="00471A96"/>
    <w:rsid w:val="00472D29"/>
    <w:rsid w:val="00472F1C"/>
    <w:rsid w:val="00474627"/>
    <w:rsid w:val="004747D3"/>
    <w:rsid w:val="00474CA2"/>
    <w:rsid w:val="0047747E"/>
    <w:rsid w:val="0048148E"/>
    <w:rsid w:val="004876A5"/>
    <w:rsid w:val="00494390"/>
    <w:rsid w:val="0049510F"/>
    <w:rsid w:val="004A044F"/>
    <w:rsid w:val="004A104E"/>
    <w:rsid w:val="004A4AEF"/>
    <w:rsid w:val="004A6788"/>
    <w:rsid w:val="004A7AE3"/>
    <w:rsid w:val="004B0D6A"/>
    <w:rsid w:val="004B2850"/>
    <w:rsid w:val="004C2E1E"/>
    <w:rsid w:val="004C6D02"/>
    <w:rsid w:val="004C7243"/>
    <w:rsid w:val="004D6A2E"/>
    <w:rsid w:val="004E0924"/>
    <w:rsid w:val="004E3502"/>
    <w:rsid w:val="004E59A2"/>
    <w:rsid w:val="004E6173"/>
    <w:rsid w:val="004E61AA"/>
    <w:rsid w:val="004F08D8"/>
    <w:rsid w:val="004F43E6"/>
    <w:rsid w:val="004F6E5A"/>
    <w:rsid w:val="00501767"/>
    <w:rsid w:val="00501E2E"/>
    <w:rsid w:val="00502176"/>
    <w:rsid w:val="00502786"/>
    <w:rsid w:val="00502B9B"/>
    <w:rsid w:val="00503CB0"/>
    <w:rsid w:val="00505782"/>
    <w:rsid w:val="005057A7"/>
    <w:rsid w:val="005060AA"/>
    <w:rsid w:val="005131CC"/>
    <w:rsid w:val="00513A85"/>
    <w:rsid w:val="005157E3"/>
    <w:rsid w:val="0051586A"/>
    <w:rsid w:val="005204C4"/>
    <w:rsid w:val="005244B4"/>
    <w:rsid w:val="00526787"/>
    <w:rsid w:val="005320EC"/>
    <w:rsid w:val="00534733"/>
    <w:rsid w:val="00534DC5"/>
    <w:rsid w:val="00535714"/>
    <w:rsid w:val="00535E56"/>
    <w:rsid w:val="00537D5D"/>
    <w:rsid w:val="00541749"/>
    <w:rsid w:val="005420C2"/>
    <w:rsid w:val="00546E66"/>
    <w:rsid w:val="00547E9A"/>
    <w:rsid w:val="00547FD4"/>
    <w:rsid w:val="005538C1"/>
    <w:rsid w:val="00553D01"/>
    <w:rsid w:val="005557B7"/>
    <w:rsid w:val="00555F26"/>
    <w:rsid w:val="00557558"/>
    <w:rsid w:val="0055756E"/>
    <w:rsid w:val="00561ECE"/>
    <w:rsid w:val="00564984"/>
    <w:rsid w:val="0056692D"/>
    <w:rsid w:val="00575177"/>
    <w:rsid w:val="0057723C"/>
    <w:rsid w:val="00580888"/>
    <w:rsid w:val="00581F64"/>
    <w:rsid w:val="0058246D"/>
    <w:rsid w:val="00587A5E"/>
    <w:rsid w:val="00590223"/>
    <w:rsid w:val="0059248C"/>
    <w:rsid w:val="00592855"/>
    <w:rsid w:val="00592F5D"/>
    <w:rsid w:val="005A007D"/>
    <w:rsid w:val="005A092E"/>
    <w:rsid w:val="005A1EE1"/>
    <w:rsid w:val="005A4709"/>
    <w:rsid w:val="005A49F4"/>
    <w:rsid w:val="005A7F4A"/>
    <w:rsid w:val="005B0981"/>
    <w:rsid w:val="005B4622"/>
    <w:rsid w:val="005B484C"/>
    <w:rsid w:val="005B4CE2"/>
    <w:rsid w:val="005B5B73"/>
    <w:rsid w:val="005B7925"/>
    <w:rsid w:val="005C3737"/>
    <w:rsid w:val="005C3A0E"/>
    <w:rsid w:val="005C4C03"/>
    <w:rsid w:val="005C5035"/>
    <w:rsid w:val="005C5C7A"/>
    <w:rsid w:val="005C5E4D"/>
    <w:rsid w:val="005C6757"/>
    <w:rsid w:val="005C718A"/>
    <w:rsid w:val="005C7FBE"/>
    <w:rsid w:val="005D2A02"/>
    <w:rsid w:val="005D5D7B"/>
    <w:rsid w:val="005E5908"/>
    <w:rsid w:val="005E5957"/>
    <w:rsid w:val="005E6136"/>
    <w:rsid w:val="005E6A45"/>
    <w:rsid w:val="005F06A6"/>
    <w:rsid w:val="005F2745"/>
    <w:rsid w:val="005F3708"/>
    <w:rsid w:val="005F5E34"/>
    <w:rsid w:val="005F6235"/>
    <w:rsid w:val="005F68DE"/>
    <w:rsid w:val="00601395"/>
    <w:rsid w:val="0060360A"/>
    <w:rsid w:val="0060411E"/>
    <w:rsid w:val="00606679"/>
    <w:rsid w:val="00607445"/>
    <w:rsid w:val="00612A47"/>
    <w:rsid w:val="00614600"/>
    <w:rsid w:val="006148FF"/>
    <w:rsid w:val="00615C72"/>
    <w:rsid w:val="00615CC7"/>
    <w:rsid w:val="0061791D"/>
    <w:rsid w:val="00621FAB"/>
    <w:rsid w:val="00623D80"/>
    <w:rsid w:val="0062674B"/>
    <w:rsid w:val="00626B75"/>
    <w:rsid w:val="00626CF0"/>
    <w:rsid w:val="0062736E"/>
    <w:rsid w:val="00633EC7"/>
    <w:rsid w:val="00635834"/>
    <w:rsid w:val="0063687E"/>
    <w:rsid w:val="00637BFD"/>
    <w:rsid w:val="006403DE"/>
    <w:rsid w:val="006409EA"/>
    <w:rsid w:val="00642556"/>
    <w:rsid w:val="0064278A"/>
    <w:rsid w:val="006428E7"/>
    <w:rsid w:val="006429E2"/>
    <w:rsid w:val="00646D1C"/>
    <w:rsid w:val="00654BEF"/>
    <w:rsid w:val="006561B5"/>
    <w:rsid w:val="00660701"/>
    <w:rsid w:val="00663B87"/>
    <w:rsid w:val="00665C0B"/>
    <w:rsid w:val="006662FC"/>
    <w:rsid w:val="0066630A"/>
    <w:rsid w:val="00666603"/>
    <w:rsid w:val="00666691"/>
    <w:rsid w:val="006707D3"/>
    <w:rsid w:val="00673F19"/>
    <w:rsid w:val="00674F1B"/>
    <w:rsid w:val="0067538F"/>
    <w:rsid w:val="00680BF5"/>
    <w:rsid w:val="00681239"/>
    <w:rsid w:val="006827E8"/>
    <w:rsid w:val="006832F2"/>
    <w:rsid w:val="00687ECE"/>
    <w:rsid w:val="00690071"/>
    <w:rsid w:val="00691342"/>
    <w:rsid w:val="0069385D"/>
    <w:rsid w:val="00694701"/>
    <w:rsid w:val="00694BED"/>
    <w:rsid w:val="00695136"/>
    <w:rsid w:val="00695C16"/>
    <w:rsid w:val="006A1AF4"/>
    <w:rsid w:val="006A2A68"/>
    <w:rsid w:val="006A33AB"/>
    <w:rsid w:val="006A51C5"/>
    <w:rsid w:val="006A6718"/>
    <w:rsid w:val="006B43D4"/>
    <w:rsid w:val="006B7D0F"/>
    <w:rsid w:val="006C39F3"/>
    <w:rsid w:val="006C4C51"/>
    <w:rsid w:val="006D2670"/>
    <w:rsid w:val="006D2975"/>
    <w:rsid w:val="006D3942"/>
    <w:rsid w:val="006D3CF2"/>
    <w:rsid w:val="006D4B02"/>
    <w:rsid w:val="006D4C1A"/>
    <w:rsid w:val="006D5AC5"/>
    <w:rsid w:val="006D71B8"/>
    <w:rsid w:val="006D739D"/>
    <w:rsid w:val="006E3E8B"/>
    <w:rsid w:val="006E5FC7"/>
    <w:rsid w:val="006E7FEB"/>
    <w:rsid w:val="006F380D"/>
    <w:rsid w:val="006F52E9"/>
    <w:rsid w:val="006F53F6"/>
    <w:rsid w:val="006F5468"/>
    <w:rsid w:val="006F76A7"/>
    <w:rsid w:val="006F78B1"/>
    <w:rsid w:val="006F7C6C"/>
    <w:rsid w:val="0070101A"/>
    <w:rsid w:val="007071F4"/>
    <w:rsid w:val="0071097F"/>
    <w:rsid w:val="00714F41"/>
    <w:rsid w:val="007172E0"/>
    <w:rsid w:val="00720A63"/>
    <w:rsid w:val="00720CA2"/>
    <w:rsid w:val="0072576F"/>
    <w:rsid w:val="00733A46"/>
    <w:rsid w:val="00733C59"/>
    <w:rsid w:val="00737A85"/>
    <w:rsid w:val="00740A4E"/>
    <w:rsid w:val="007415CC"/>
    <w:rsid w:val="00743FEC"/>
    <w:rsid w:val="007458AD"/>
    <w:rsid w:val="0074780B"/>
    <w:rsid w:val="007513A7"/>
    <w:rsid w:val="00753D7E"/>
    <w:rsid w:val="007550E9"/>
    <w:rsid w:val="00756FB0"/>
    <w:rsid w:val="00757C51"/>
    <w:rsid w:val="00760BB8"/>
    <w:rsid w:val="007625D8"/>
    <w:rsid w:val="00764910"/>
    <w:rsid w:val="00765362"/>
    <w:rsid w:val="007679AB"/>
    <w:rsid w:val="00767EBE"/>
    <w:rsid w:val="00774B5A"/>
    <w:rsid w:val="0077684F"/>
    <w:rsid w:val="00777FA3"/>
    <w:rsid w:val="007813D5"/>
    <w:rsid w:val="00790326"/>
    <w:rsid w:val="007908F2"/>
    <w:rsid w:val="00793D4D"/>
    <w:rsid w:val="0079430B"/>
    <w:rsid w:val="007A7A1D"/>
    <w:rsid w:val="007B07DF"/>
    <w:rsid w:val="007B0841"/>
    <w:rsid w:val="007B5134"/>
    <w:rsid w:val="007C0AD2"/>
    <w:rsid w:val="007C1283"/>
    <w:rsid w:val="007C15CA"/>
    <w:rsid w:val="007C3679"/>
    <w:rsid w:val="007C4C52"/>
    <w:rsid w:val="007C605A"/>
    <w:rsid w:val="007D00BE"/>
    <w:rsid w:val="007D0B9C"/>
    <w:rsid w:val="007E0F55"/>
    <w:rsid w:val="007E6A6A"/>
    <w:rsid w:val="007F1B88"/>
    <w:rsid w:val="007F2DD9"/>
    <w:rsid w:val="007F31DB"/>
    <w:rsid w:val="007F4FC3"/>
    <w:rsid w:val="007F573C"/>
    <w:rsid w:val="007F7F65"/>
    <w:rsid w:val="00802D2F"/>
    <w:rsid w:val="00805067"/>
    <w:rsid w:val="008050B0"/>
    <w:rsid w:val="008066E9"/>
    <w:rsid w:val="0081525A"/>
    <w:rsid w:val="0081575B"/>
    <w:rsid w:val="00821786"/>
    <w:rsid w:val="00824972"/>
    <w:rsid w:val="00824CE7"/>
    <w:rsid w:val="00825361"/>
    <w:rsid w:val="00825C3B"/>
    <w:rsid w:val="0083021D"/>
    <w:rsid w:val="0083076C"/>
    <w:rsid w:val="00830EEB"/>
    <w:rsid w:val="008324B2"/>
    <w:rsid w:val="0083262E"/>
    <w:rsid w:val="00833040"/>
    <w:rsid w:val="00835878"/>
    <w:rsid w:val="00840F6F"/>
    <w:rsid w:val="00841803"/>
    <w:rsid w:val="00841AE4"/>
    <w:rsid w:val="00843794"/>
    <w:rsid w:val="00847AE3"/>
    <w:rsid w:val="00854742"/>
    <w:rsid w:val="00860566"/>
    <w:rsid w:val="00861F55"/>
    <w:rsid w:val="008675AB"/>
    <w:rsid w:val="00867C64"/>
    <w:rsid w:val="00871D70"/>
    <w:rsid w:val="00872B75"/>
    <w:rsid w:val="00872F95"/>
    <w:rsid w:val="008767C9"/>
    <w:rsid w:val="00877573"/>
    <w:rsid w:val="00877F28"/>
    <w:rsid w:val="008806F3"/>
    <w:rsid w:val="00880EF0"/>
    <w:rsid w:val="00881F26"/>
    <w:rsid w:val="00883107"/>
    <w:rsid w:val="008855B6"/>
    <w:rsid w:val="0088587D"/>
    <w:rsid w:val="0088637A"/>
    <w:rsid w:val="008878E0"/>
    <w:rsid w:val="00887F5A"/>
    <w:rsid w:val="00890AE9"/>
    <w:rsid w:val="00891A77"/>
    <w:rsid w:val="00895F17"/>
    <w:rsid w:val="008960F7"/>
    <w:rsid w:val="00897B14"/>
    <w:rsid w:val="00897F97"/>
    <w:rsid w:val="008A00D8"/>
    <w:rsid w:val="008A0BDF"/>
    <w:rsid w:val="008A11FA"/>
    <w:rsid w:val="008A5C89"/>
    <w:rsid w:val="008A72D1"/>
    <w:rsid w:val="008A75D6"/>
    <w:rsid w:val="008A7684"/>
    <w:rsid w:val="008B275A"/>
    <w:rsid w:val="008B361F"/>
    <w:rsid w:val="008B36E6"/>
    <w:rsid w:val="008B434B"/>
    <w:rsid w:val="008B6F14"/>
    <w:rsid w:val="008B756D"/>
    <w:rsid w:val="008B7DDF"/>
    <w:rsid w:val="008C0072"/>
    <w:rsid w:val="008C335C"/>
    <w:rsid w:val="008C357C"/>
    <w:rsid w:val="008C6B4B"/>
    <w:rsid w:val="008D219A"/>
    <w:rsid w:val="008D264B"/>
    <w:rsid w:val="008D637E"/>
    <w:rsid w:val="008D6BC5"/>
    <w:rsid w:val="008E0F0E"/>
    <w:rsid w:val="008E131A"/>
    <w:rsid w:val="008E485F"/>
    <w:rsid w:val="008E7526"/>
    <w:rsid w:val="008F37E9"/>
    <w:rsid w:val="008F66D0"/>
    <w:rsid w:val="008F7335"/>
    <w:rsid w:val="00900850"/>
    <w:rsid w:val="00901299"/>
    <w:rsid w:val="00901DBB"/>
    <w:rsid w:val="009026CC"/>
    <w:rsid w:val="009041F0"/>
    <w:rsid w:val="00904A3D"/>
    <w:rsid w:val="00904BA1"/>
    <w:rsid w:val="009072FA"/>
    <w:rsid w:val="00907E9A"/>
    <w:rsid w:val="00910297"/>
    <w:rsid w:val="0091132D"/>
    <w:rsid w:val="0091167D"/>
    <w:rsid w:val="00911FB7"/>
    <w:rsid w:val="00913A83"/>
    <w:rsid w:val="009152F0"/>
    <w:rsid w:val="00920A05"/>
    <w:rsid w:val="00920DCF"/>
    <w:rsid w:val="00921596"/>
    <w:rsid w:val="009271F0"/>
    <w:rsid w:val="009272E4"/>
    <w:rsid w:val="00930187"/>
    <w:rsid w:val="00930767"/>
    <w:rsid w:val="00932547"/>
    <w:rsid w:val="009332C8"/>
    <w:rsid w:val="00934465"/>
    <w:rsid w:val="009358FA"/>
    <w:rsid w:val="00935A38"/>
    <w:rsid w:val="00935E54"/>
    <w:rsid w:val="00940D9E"/>
    <w:rsid w:val="00941BB0"/>
    <w:rsid w:val="00942A4D"/>
    <w:rsid w:val="00943718"/>
    <w:rsid w:val="009469F6"/>
    <w:rsid w:val="00947A23"/>
    <w:rsid w:val="0095421E"/>
    <w:rsid w:val="009560EA"/>
    <w:rsid w:val="00957FFE"/>
    <w:rsid w:val="00964229"/>
    <w:rsid w:val="00964A6E"/>
    <w:rsid w:val="00971852"/>
    <w:rsid w:val="00973186"/>
    <w:rsid w:val="009746DB"/>
    <w:rsid w:val="00974B77"/>
    <w:rsid w:val="00974D26"/>
    <w:rsid w:val="00974D5E"/>
    <w:rsid w:val="009768AB"/>
    <w:rsid w:val="009811BB"/>
    <w:rsid w:val="009813BA"/>
    <w:rsid w:val="0098334C"/>
    <w:rsid w:val="009849B3"/>
    <w:rsid w:val="009867E4"/>
    <w:rsid w:val="00986FBA"/>
    <w:rsid w:val="00990764"/>
    <w:rsid w:val="00994A4B"/>
    <w:rsid w:val="00994BFD"/>
    <w:rsid w:val="00994CFF"/>
    <w:rsid w:val="009954C8"/>
    <w:rsid w:val="0099714A"/>
    <w:rsid w:val="0099772F"/>
    <w:rsid w:val="009A4636"/>
    <w:rsid w:val="009B0938"/>
    <w:rsid w:val="009B29FD"/>
    <w:rsid w:val="009B2D92"/>
    <w:rsid w:val="009B46E7"/>
    <w:rsid w:val="009B498F"/>
    <w:rsid w:val="009B4A50"/>
    <w:rsid w:val="009B616F"/>
    <w:rsid w:val="009C14F9"/>
    <w:rsid w:val="009C1AB4"/>
    <w:rsid w:val="009C2083"/>
    <w:rsid w:val="009D02B9"/>
    <w:rsid w:val="009D74C3"/>
    <w:rsid w:val="009E71BE"/>
    <w:rsid w:val="009F2282"/>
    <w:rsid w:val="009F2324"/>
    <w:rsid w:val="009F34C5"/>
    <w:rsid w:val="009F4578"/>
    <w:rsid w:val="009F4B41"/>
    <w:rsid w:val="009F4E20"/>
    <w:rsid w:val="009F6C8B"/>
    <w:rsid w:val="009F7EB3"/>
    <w:rsid w:val="00A00DB6"/>
    <w:rsid w:val="00A031A3"/>
    <w:rsid w:val="00A032CA"/>
    <w:rsid w:val="00A07EA4"/>
    <w:rsid w:val="00A106D6"/>
    <w:rsid w:val="00A13608"/>
    <w:rsid w:val="00A14597"/>
    <w:rsid w:val="00A23A28"/>
    <w:rsid w:val="00A30C51"/>
    <w:rsid w:val="00A3115C"/>
    <w:rsid w:val="00A3511C"/>
    <w:rsid w:val="00A356E1"/>
    <w:rsid w:val="00A40316"/>
    <w:rsid w:val="00A4161B"/>
    <w:rsid w:val="00A4210E"/>
    <w:rsid w:val="00A445AF"/>
    <w:rsid w:val="00A503BF"/>
    <w:rsid w:val="00A51EBF"/>
    <w:rsid w:val="00A52A4A"/>
    <w:rsid w:val="00A52ADC"/>
    <w:rsid w:val="00A5347E"/>
    <w:rsid w:val="00A57337"/>
    <w:rsid w:val="00A57E3B"/>
    <w:rsid w:val="00A57FC8"/>
    <w:rsid w:val="00A64FC8"/>
    <w:rsid w:val="00A7000B"/>
    <w:rsid w:val="00A701CD"/>
    <w:rsid w:val="00A710D6"/>
    <w:rsid w:val="00A7228F"/>
    <w:rsid w:val="00A7507A"/>
    <w:rsid w:val="00A753B1"/>
    <w:rsid w:val="00A801FD"/>
    <w:rsid w:val="00A81FF6"/>
    <w:rsid w:val="00A82654"/>
    <w:rsid w:val="00A868E0"/>
    <w:rsid w:val="00A876DA"/>
    <w:rsid w:val="00A90BF9"/>
    <w:rsid w:val="00A97E9D"/>
    <w:rsid w:val="00AA23DC"/>
    <w:rsid w:val="00AA5CED"/>
    <w:rsid w:val="00AA5F6E"/>
    <w:rsid w:val="00AA64CD"/>
    <w:rsid w:val="00AA7698"/>
    <w:rsid w:val="00AB127B"/>
    <w:rsid w:val="00AB1F8D"/>
    <w:rsid w:val="00AB33BE"/>
    <w:rsid w:val="00AB3BA8"/>
    <w:rsid w:val="00AC2218"/>
    <w:rsid w:val="00AC24B8"/>
    <w:rsid w:val="00AC5204"/>
    <w:rsid w:val="00AC55CA"/>
    <w:rsid w:val="00AC6723"/>
    <w:rsid w:val="00AC79CC"/>
    <w:rsid w:val="00AD1FC3"/>
    <w:rsid w:val="00AD44D5"/>
    <w:rsid w:val="00AD6596"/>
    <w:rsid w:val="00AD6AB6"/>
    <w:rsid w:val="00AD77FB"/>
    <w:rsid w:val="00AE02A3"/>
    <w:rsid w:val="00AE1E4B"/>
    <w:rsid w:val="00AE1EEC"/>
    <w:rsid w:val="00AE2379"/>
    <w:rsid w:val="00AE3393"/>
    <w:rsid w:val="00AE3ED1"/>
    <w:rsid w:val="00AE476A"/>
    <w:rsid w:val="00AE497D"/>
    <w:rsid w:val="00AE696C"/>
    <w:rsid w:val="00AF08DC"/>
    <w:rsid w:val="00AF1409"/>
    <w:rsid w:val="00AF19EA"/>
    <w:rsid w:val="00AF1B49"/>
    <w:rsid w:val="00AF2CBC"/>
    <w:rsid w:val="00AF3CE1"/>
    <w:rsid w:val="00AF42FE"/>
    <w:rsid w:val="00AF4D4A"/>
    <w:rsid w:val="00AF7627"/>
    <w:rsid w:val="00B02234"/>
    <w:rsid w:val="00B02D10"/>
    <w:rsid w:val="00B04457"/>
    <w:rsid w:val="00B0460D"/>
    <w:rsid w:val="00B04978"/>
    <w:rsid w:val="00B053B5"/>
    <w:rsid w:val="00B1709F"/>
    <w:rsid w:val="00B229A5"/>
    <w:rsid w:val="00B27CEB"/>
    <w:rsid w:val="00B33946"/>
    <w:rsid w:val="00B33FCB"/>
    <w:rsid w:val="00B357EB"/>
    <w:rsid w:val="00B41359"/>
    <w:rsid w:val="00B4402E"/>
    <w:rsid w:val="00B52D08"/>
    <w:rsid w:val="00B548B2"/>
    <w:rsid w:val="00B575BA"/>
    <w:rsid w:val="00B64C5C"/>
    <w:rsid w:val="00B65186"/>
    <w:rsid w:val="00B65255"/>
    <w:rsid w:val="00B67C36"/>
    <w:rsid w:val="00B73319"/>
    <w:rsid w:val="00B7381B"/>
    <w:rsid w:val="00B75665"/>
    <w:rsid w:val="00B764D9"/>
    <w:rsid w:val="00B80827"/>
    <w:rsid w:val="00B82E62"/>
    <w:rsid w:val="00B82E9F"/>
    <w:rsid w:val="00B83894"/>
    <w:rsid w:val="00B859F1"/>
    <w:rsid w:val="00B85EEB"/>
    <w:rsid w:val="00B8690B"/>
    <w:rsid w:val="00B87F59"/>
    <w:rsid w:val="00B932D2"/>
    <w:rsid w:val="00B93B4F"/>
    <w:rsid w:val="00BA3290"/>
    <w:rsid w:val="00BA4AC6"/>
    <w:rsid w:val="00BB0160"/>
    <w:rsid w:val="00BB116C"/>
    <w:rsid w:val="00BB26F6"/>
    <w:rsid w:val="00BB6D05"/>
    <w:rsid w:val="00BB7917"/>
    <w:rsid w:val="00BB7B59"/>
    <w:rsid w:val="00BC091A"/>
    <w:rsid w:val="00BC5A82"/>
    <w:rsid w:val="00BC6F81"/>
    <w:rsid w:val="00BC7DDE"/>
    <w:rsid w:val="00BD0141"/>
    <w:rsid w:val="00BD0216"/>
    <w:rsid w:val="00BD10BC"/>
    <w:rsid w:val="00BD1229"/>
    <w:rsid w:val="00BD429F"/>
    <w:rsid w:val="00BD61C8"/>
    <w:rsid w:val="00BD6556"/>
    <w:rsid w:val="00BD78FA"/>
    <w:rsid w:val="00BE13A7"/>
    <w:rsid w:val="00BE18D2"/>
    <w:rsid w:val="00BE5F52"/>
    <w:rsid w:val="00BF0AC8"/>
    <w:rsid w:val="00BF32FD"/>
    <w:rsid w:val="00BF4F48"/>
    <w:rsid w:val="00BF5DB5"/>
    <w:rsid w:val="00C01005"/>
    <w:rsid w:val="00C02B91"/>
    <w:rsid w:val="00C039DF"/>
    <w:rsid w:val="00C11898"/>
    <w:rsid w:val="00C11E81"/>
    <w:rsid w:val="00C13875"/>
    <w:rsid w:val="00C1481A"/>
    <w:rsid w:val="00C166C4"/>
    <w:rsid w:val="00C20337"/>
    <w:rsid w:val="00C20FCC"/>
    <w:rsid w:val="00C22323"/>
    <w:rsid w:val="00C23B0F"/>
    <w:rsid w:val="00C24FA0"/>
    <w:rsid w:val="00C2509E"/>
    <w:rsid w:val="00C26A7F"/>
    <w:rsid w:val="00C313F6"/>
    <w:rsid w:val="00C32264"/>
    <w:rsid w:val="00C326F9"/>
    <w:rsid w:val="00C34EEB"/>
    <w:rsid w:val="00C3649B"/>
    <w:rsid w:val="00C408C2"/>
    <w:rsid w:val="00C40E12"/>
    <w:rsid w:val="00C443EA"/>
    <w:rsid w:val="00C45760"/>
    <w:rsid w:val="00C51AE4"/>
    <w:rsid w:val="00C52F74"/>
    <w:rsid w:val="00C532EF"/>
    <w:rsid w:val="00C53639"/>
    <w:rsid w:val="00C607C7"/>
    <w:rsid w:val="00C63DBF"/>
    <w:rsid w:val="00C710B4"/>
    <w:rsid w:val="00C731BF"/>
    <w:rsid w:val="00C74AE3"/>
    <w:rsid w:val="00C81286"/>
    <w:rsid w:val="00C82C49"/>
    <w:rsid w:val="00C83DF8"/>
    <w:rsid w:val="00C84274"/>
    <w:rsid w:val="00C864A8"/>
    <w:rsid w:val="00C87384"/>
    <w:rsid w:val="00C96E67"/>
    <w:rsid w:val="00CA15D0"/>
    <w:rsid w:val="00CA170E"/>
    <w:rsid w:val="00CA1D24"/>
    <w:rsid w:val="00CA4B0D"/>
    <w:rsid w:val="00CA5A8A"/>
    <w:rsid w:val="00CA63D4"/>
    <w:rsid w:val="00CA67A6"/>
    <w:rsid w:val="00CA6DFA"/>
    <w:rsid w:val="00CB0C1C"/>
    <w:rsid w:val="00CB5D46"/>
    <w:rsid w:val="00CC1DFC"/>
    <w:rsid w:val="00CC365D"/>
    <w:rsid w:val="00CC3799"/>
    <w:rsid w:val="00CC5BA3"/>
    <w:rsid w:val="00CC6A0A"/>
    <w:rsid w:val="00CC737C"/>
    <w:rsid w:val="00CD44F3"/>
    <w:rsid w:val="00CD4920"/>
    <w:rsid w:val="00CD7577"/>
    <w:rsid w:val="00CE2470"/>
    <w:rsid w:val="00CE44B8"/>
    <w:rsid w:val="00CE47D3"/>
    <w:rsid w:val="00CE48E0"/>
    <w:rsid w:val="00CE6BCF"/>
    <w:rsid w:val="00CF2A5A"/>
    <w:rsid w:val="00CF390B"/>
    <w:rsid w:val="00CF4933"/>
    <w:rsid w:val="00CF728E"/>
    <w:rsid w:val="00D00B15"/>
    <w:rsid w:val="00D045A8"/>
    <w:rsid w:val="00D054A8"/>
    <w:rsid w:val="00D05554"/>
    <w:rsid w:val="00D06F5F"/>
    <w:rsid w:val="00D10650"/>
    <w:rsid w:val="00D10C18"/>
    <w:rsid w:val="00D10CF3"/>
    <w:rsid w:val="00D132F2"/>
    <w:rsid w:val="00D1456D"/>
    <w:rsid w:val="00D14C54"/>
    <w:rsid w:val="00D154D6"/>
    <w:rsid w:val="00D21321"/>
    <w:rsid w:val="00D23AC6"/>
    <w:rsid w:val="00D23C07"/>
    <w:rsid w:val="00D26A17"/>
    <w:rsid w:val="00D276EA"/>
    <w:rsid w:val="00D31048"/>
    <w:rsid w:val="00D31485"/>
    <w:rsid w:val="00D31623"/>
    <w:rsid w:val="00D324A4"/>
    <w:rsid w:val="00D32CBB"/>
    <w:rsid w:val="00D35428"/>
    <w:rsid w:val="00D36AEC"/>
    <w:rsid w:val="00D37E7D"/>
    <w:rsid w:val="00D44EA8"/>
    <w:rsid w:val="00D44EE7"/>
    <w:rsid w:val="00D45C28"/>
    <w:rsid w:val="00D47D04"/>
    <w:rsid w:val="00D5107D"/>
    <w:rsid w:val="00D522CB"/>
    <w:rsid w:val="00D57C6B"/>
    <w:rsid w:val="00D60D82"/>
    <w:rsid w:val="00D62658"/>
    <w:rsid w:val="00D62AF9"/>
    <w:rsid w:val="00D70978"/>
    <w:rsid w:val="00D72F89"/>
    <w:rsid w:val="00D73279"/>
    <w:rsid w:val="00D73909"/>
    <w:rsid w:val="00D7499C"/>
    <w:rsid w:val="00D807A4"/>
    <w:rsid w:val="00D85574"/>
    <w:rsid w:val="00D91D4B"/>
    <w:rsid w:val="00D92CA6"/>
    <w:rsid w:val="00D94226"/>
    <w:rsid w:val="00D96575"/>
    <w:rsid w:val="00DA19DD"/>
    <w:rsid w:val="00DA57D4"/>
    <w:rsid w:val="00DA6B46"/>
    <w:rsid w:val="00DB08AE"/>
    <w:rsid w:val="00DB104B"/>
    <w:rsid w:val="00DB29EE"/>
    <w:rsid w:val="00DB3283"/>
    <w:rsid w:val="00DB656A"/>
    <w:rsid w:val="00DC06A7"/>
    <w:rsid w:val="00DC3AEF"/>
    <w:rsid w:val="00DC3D02"/>
    <w:rsid w:val="00DC4EA8"/>
    <w:rsid w:val="00DC70F8"/>
    <w:rsid w:val="00DD1151"/>
    <w:rsid w:val="00DD2496"/>
    <w:rsid w:val="00DD3AA1"/>
    <w:rsid w:val="00DD7366"/>
    <w:rsid w:val="00DE1AB6"/>
    <w:rsid w:val="00DE371C"/>
    <w:rsid w:val="00DE4955"/>
    <w:rsid w:val="00DF02D7"/>
    <w:rsid w:val="00DF0807"/>
    <w:rsid w:val="00DF0B0A"/>
    <w:rsid w:val="00DF46A0"/>
    <w:rsid w:val="00DF671D"/>
    <w:rsid w:val="00DF707C"/>
    <w:rsid w:val="00E0140E"/>
    <w:rsid w:val="00E056FC"/>
    <w:rsid w:val="00E0775C"/>
    <w:rsid w:val="00E15B95"/>
    <w:rsid w:val="00E20A78"/>
    <w:rsid w:val="00E215B2"/>
    <w:rsid w:val="00E235AE"/>
    <w:rsid w:val="00E239AB"/>
    <w:rsid w:val="00E2487D"/>
    <w:rsid w:val="00E24905"/>
    <w:rsid w:val="00E24A15"/>
    <w:rsid w:val="00E27DC3"/>
    <w:rsid w:val="00E27F44"/>
    <w:rsid w:val="00E30DB8"/>
    <w:rsid w:val="00E3107A"/>
    <w:rsid w:val="00E336D9"/>
    <w:rsid w:val="00E378FE"/>
    <w:rsid w:val="00E4219A"/>
    <w:rsid w:val="00E46635"/>
    <w:rsid w:val="00E524CE"/>
    <w:rsid w:val="00E53ECE"/>
    <w:rsid w:val="00E54A90"/>
    <w:rsid w:val="00E5542E"/>
    <w:rsid w:val="00E56A5F"/>
    <w:rsid w:val="00E57171"/>
    <w:rsid w:val="00E60655"/>
    <w:rsid w:val="00E61DBA"/>
    <w:rsid w:val="00E6379F"/>
    <w:rsid w:val="00E6597B"/>
    <w:rsid w:val="00E71210"/>
    <w:rsid w:val="00E72F90"/>
    <w:rsid w:val="00E76772"/>
    <w:rsid w:val="00E76F70"/>
    <w:rsid w:val="00E81F9D"/>
    <w:rsid w:val="00E8233E"/>
    <w:rsid w:val="00E82715"/>
    <w:rsid w:val="00E82896"/>
    <w:rsid w:val="00E849F7"/>
    <w:rsid w:val="00E855D3"/>
    <w:rsid w:val="00E86C05"/>
    <w:rsid w:val="00E92CAB"/>
    <w:rsid w:val="00E94462"/>
    <w:rsid w:val="00E95185"/>
    <w:rsid w:val="00EA03EA"/>
    <w:rsid w:val="00EA475E"/>
    <w:rsid w:val="00EA53C8"/>
    <w:rsid w:val="00EA63A9"/>
    <w:rsid w:val="00EA7449"/>
    <w:rsid w:val="00EA74B4"/>
    <w:rsid w:val="00EB08CA"/>
    <w:rsid w:val="00EB11DF"/>
    <w:rsid w:val="00EB3DFA"/>
    <w:rsid w:val="00EB41D2"/>
    <w:rsid w:val="00EB4898"/>
    <w:rsid w:val="00EB50DB"/>
    <w:rsid w:val="00EB5B66"/>
    <w:rsid w:val="00EB5BEE"/>
    <w:rsid w:val="00EB7FD1"/>
    <w:rsid w:val="00EC1A19"/>
    <w:rsid w:val="00EC4F6A"/>
    <w:rsid w:val="00EE1E92"/>
    <w:rsid w:val="00EE30B6"/>
    <w:rsid w:val="00EE4490"/>
    <w:rsid w:val="00EE7433"/>
    <w:rsid w:val="00EF1FA7"/>
    <w:rsid w:val="00F01F41"/>
    <w:rsid w:val="00F02A25"/>
    <w:rsid w:val="00F0757D"/>
    <w:rsid w:val="00F11BED"/>
    <w:rsid w:val="00F123F2"/>
    <w:rsid w:val="00F13E4E"/>
    <w:rsid w:val="00F154B2"/>
    <w:rsid w:val="00F2294A"/>
    <w:rsid w:val="00F258E0"/>
    <w:rsid w:val="00F26114"/>
    <w:rsid w:val="00F26B48"/>
    <w:rsid w:val="00F324E8"/>
    <w:rsid w:val="00F331DE"/>
    <w:rsid w:val="00F34F88"/>
    <w:rsid w:val="00F3531D"/>
    <w:rsid w:val="00F41CC8"/>
    <w:rsid w:val="00F425E3"/>
    <w:rsid w:val="00F44BE3"/>
    <w:rsid w:val="00F45F3D"/>
    <w:rsid w:val="00F47D2A"/>
    <w:rsid w:val="00F522DF"/>
    <w:rsid w:val="00F533F5"/>
    <w:rsid w:val="00F6039A"/>
    <w:rsid w:val="00F6229A"/>
    <w:rsid w:val="00F62511"/>
    <w:rsid w:val="00F62CEC"/>
    <w:rsid w:val="00F63C2B"/>
    <w:rsid w:val="00F6494E"/>
    <w:rsid w:val="00F65F6C"/>
    <w:rsid w:val="00F67D78"/>
    <w:rsid w:val="00F7139E"/>
    <w:rsid w:val="00F72278"/>
    <w:rsid w:val="00F723AE"/>
    <w:rsid w:val="00F72E52"/>
    <w:rsid w:val="00F768DA"/>
    <w:rsid w:val="00F8643B"/>
    <w:rsid w:val="00F8677A"/>
    <w:rsid w:val="00F870C0"/>
    <w:rsid w:val="00F90BB9"/>
    <w:rsid w:val="00F922A2"/>
    <w:rsid w:val="00F93622"/>
    <w:rsid w:val="00F9528E"/>
    <w:rsid w:val="00F95F86"/>
    <w:rsid w:val="00F960B6"/>
    <w:rsid w:val="00F9614B"/>
    <w:rsid w:val="00F9678B"/>
    <w:rsid w:val="00F977F6"/>
    <w:rsid w:val="00F97C5B"/>
    <w:rsid w:val="00FA073F"/>
    <w:rsid w:val="00FA0994"/>
    <w:rsid w:val="00FA1D35"/>
    <w:rsid w:val="00FA497E"/>
    <w:rsid w:val="00FA7245"/>
    <w:rsid w:val="00FB2923"/>
    <w:rsid w:val="00FB3F00"/>
    <w:rsid w:val="00FC3C43"/>
    <w:rsid w:val="00FC6267"/>
    <w:rsid w:val="00FD0345"/>
    <w:rsid w:val="00FD2D97"/>
    <w:rsid w:val="00FE28DB"/>
    <w:rsid w:val="00FE53DB"/>
    <w:rsid w:val="00FE5471"/>
    <w:rsid w:val="00FE550E"/>
    <w:rsid w:val="00FE75CB"/>
    <w:rsid w:val="00FF552D"/>
    <w:rsid w:val="00FF594E"/>
    <w:rsid w:val="00FF6F0F"/>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E51B"/>
  <w15:chartTrackingRefBased/>
  <w15:docId w15:val="{955E016E-D334-4537-B3BF-394DE6DB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42"/>
    <w:pPr>
      <w:spacing w:line="278" w:lineRule="auto"/>
    </w:pPr>
    <w:rPr>
      <w:sz w:val="24"/>
      <w:szCs w:val="24"/>
    </w:rPr>
  </w:style>
  <w:style w:type="paragraph" w:styleId="Heading1">
    <w:name w:val="heading 1"/>
    <w:basedOn w:val="Normal"/>
    <w:next w:val="Normal"/>
    <w:link w:val="Heading1Char"/>
    <w:uiPriority w:val="9"/>
    <w:qFormat/>
    <w:rsid w:val="006D3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3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3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3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3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942"/>
    <w:rPr>
      <w:rFonts w:eastAsiaTheme="majorEastAsia" w:cstheme="majorBidi"/>
      <w:color w:val="272727" w:themeColor="text1" w:themeTint="D8"/>
    </w:rPr>
  </w:style>
  <w:style w:type="paragraph" w:styleId="Title">
    <w:name w:val="Title"/>
    <w:basedOn w:val="Normal"/>
    <w:next w:val="Normal"/>
    <w:link w:val="TitleChar"/>
    <w:uiPriority w:val="10"/>
    <w:qFormat/>
    <w:rsid w:val="006D3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942"/>
    <w:pPr>
      <w:spacing w:before="160"/>
      <w:jc w:val="center"/>
    </w:pPr>
    <w:rPr>
      <w:i/>
      <w:iCs/>
      <w:color w:val="404040" w:themeColor="text1" w:themeTint="BF"/>
    </w:rPr>
  </w:style>
  <w:style w:type="character" w:customStyle="1" w:styleId="QuoteChar">
    <w:name w:val="Quote Char"/>
    <w:basedOn w:val="DefaultParagraphFont"/>
    <w:link w:val="Quote"/>
    <w:uiPriority w:val="29"/>
    <w:rsid w:val="006D3942"/>
    <w:rPr>
      <w:i/>
      <w:iCs/>
      <w:color w:val="404040" w:themeColor="text1" w:themeTint="BF"/>
    </w:rPr>
  </w:style>
  <w:style w:type="paragraph" w:styleId="ListParagraph">
    <w:name w:val="List Paragraph"/>
    <w:basedOn w:val="Normal"/>
    <w:uiPriority w:val="34"/>
    <w:qFormat/>
    <w:rsid w:val="006D3942"/>
    <w:pPr>
      <w:ind w:left="720"/>
      <w:contextualSpacing/>
    </w:pPr>
  </w:style>
  <w:style w:type="character" w:styleId="IntenseEmphasis">
    <w:name w:val="Intense Emphasis"/>
    <w:basedOn w:val="DefaultParagraphFont"/>
    <w:uiPriority w:val="21"/>
    <w:qFormat/>
    <w:rsid w:val="006D3942"/>
    <w:rPr>
      <w:i/>
      <w:iCs/>
      <w:color w:val="0F4761" w:themeColor="accent1" w:themeShade="BF"/>
    </w:rPr>
  </w:style>
  <w:style w:type="paragraph" w:styleId="IntenseQuote">
    <w:name w:val="Intense Quote"/>
    <w:basedOn w:val="Normal"/>
    <w:next w:val="Normal"/>
    <w:link w:val="IntenseQuoteChar"/>
    <w:uiPriority w:val="30"/>
    <w:qFormat/>
    <w:rsid w:val="006D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942"/>
    <w:rPr>
      <w:i/>
      <w:iCs/>
      <w:color w:val="0F4761" w:themeColor="accent1" w:themeShade="BF"/>
    </w:rPr>
  </w:style>
  <w:style w:type="character" w:styleId="IntenseReference">
    <w:name w:val="Intense Reference"/>
    <w:basedOn w:val="DefaultParagraphFont"/>
    <w:uiPriority w:val="32"/>
    <w:qFormat/>
    <w:rsid w:val="006D3942"/>
    <w:rPr>
      <w:b/>
      <w:bCs/>
      <w:smallCaps/>
      <w:color w:val="0F4761" w:themeColor="accent1" w:themeShade="BF"/>
      <w:spacing w:val="5"/>
    </w:rPr>
  </w:style>
  <w:style w:type="paragraph" w:styleId="TOCHeading">
    <w:name w:val="TOC Heading"/>
    <w:basedOn w:val="Heading1"/>
    <w:next w:val="Normal"/>
    <w:uiPriority w:val="39"/>
    <w:unhideWhenUsed/>
    <w:qFormat/>
    <w:rsid w:val="006D3942"/>
    <w:pPr>
      <w:spacing w:before="240" w:after="0"/>
      <w:outlineLvl w:val="9"/>
    </w:pPr>
    <w:rPr>
      <w:kern w:val="0"/>
      <w:sz w:val="32"/>
      <w:szCs w:val="32"/>
    </w:rPr>
  </w:style>
  <w:style w:type="paragraph" w:styleId="TOC1">
    <w:name w:val="toc 1"/>
    <w:basedOn w:val="toc10"/>
    <w:next w:val="Document"/>
    <w:uiPriority w:val="39"/>
    <w:unhideWhenUsed/>
    <w:rsid w:val="006D3942"/>
  </w:style>
  <w:style w:type="character" w:styleId="Hyperlink">
    <w:name w:val="Hyperlink"/>
    <w:basedOn w:val="DefaultParagraphFont"/>
    <w:uiPriority w:val="99"/>
    <w:unhideWhenUsed/>
    <w:rsid w:val="006D3942"/>
    <w:rPr>
      <w:color w:val="467886" w:themeColor="hyperlink"/>
      <w:u w:val="single"/>
    </w:rPr>
  </w:style>
  <w:style w:type="paragraph" w:styleId="FootnoteText">
    <w:name w:val="footnote text"/>
    <w:basedOn w:val="Normal"/>
    <w:link w:val="FootnoteTextChar"/>
    <w:uiPriority w:val="99"/>
    <w:unhideWhenUsed/>
    <w:rsid w:val="006D3942"/>
    <w:pPr>
      <w:spacing w:after="0" w:line="240" w:lineRule="auto"/>
    </w:pPr>
    <w:rPr>
      <w:sz w:val="20"/>
      <w:szCs w:val="20"/>
    </w:rPr>
  </w:style>
  <w:style w:type="character" w:customStyle="1" w:styleId="FootnoteTextChar">
    <w:name w:val="Footnote Text Char"/>
    <w:basedOn w:val="DefaultParagraphFont"/>
    <w:link w:val="FootnoteText"/>
    <w:uiPriority w:val="99"/>
    <w:rsid w:val="006D3942"/>
    <w:rPr>
      <w:sz w:val="20"/>
      <w:szCs w:val="20"/>
    </w:rPr>
  </w:style>
  <w:style w:type="character" w:styleId="FootnoteReference">
    <w:name w:val="footnote reference"/>
    <w:basedOn w:val="DefaultParagraphFont"/>
    <w:uiPriority w:val="99"/>
    <w:semiHidden/>
    <w:unhideWhenUsed/>
    <w:rsid w:val="006D3942"/>
    <w:rPr>
      <w:vertAlign w:val="superscript"/>
    </w:rPr>
  </w:style>
  <w:style w:type="paragraph" w:styleId="TOC2">
    <w:name w:val="toc 2"/>
    <w:basedOn w:val="toc20"/>
    <w:next w:val="Document"/>
    <w:uiPriority w:val="39"/>
    <w:unhideWhenUsed/>
    <w:rsid w:val="006D3942"/>
  </w:style>
  <w:style w:type="paragraph" w:styleId="Header">
    <w:name w:val="header"/>
    <w:basedOn w:val="Normal"/>
    <w:link w:val="HeaderChar"/>
    <w:uiPriority w:val="99"/>
    <w:unhideWhenUsed/>
    <w:rsid w:val="006D3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42"/>
    <w:rPr>
      <w:sz w:val="24"/>
      <w:szCs w:val="24"/>
    </w:rPr>
  </w:style>
  <w:style w:type="paragraph" w:styleId="Footer">
    <w:name w:val="footer"/>
    <w:basedOn w:val="Normal"/>
    <w:link w:val="FooterChar"/>
    <w:uiPriority w:val="99"/>
    <w:unhideWhenUsed/>
    <w:rsid w:val="006D3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42"/>
    <w:rPr>
      <w:sz w:val="24"/>
      <w:szCs w:val="24"/>
    </w:rPr>
  </w:style>
  <w:style w:type="character" w:styleId="UnresolvedMention">
    <w:name w:val="Unresolved Mention"/>
    <w:basedOn w:val="DefaultParagraphFont"/>
    <w:uiPriority w:val="99"/>
    <w:semiHidden/>
    <w:unhideWhenUsed/>
    <w:rsid w:val="006D3942"/>
    <w:rPr>
      <w:color w:val="605E5C"/>
      <w:shd w:val="clear" w:color="auto" w:fill="E1DFDD"/>
    </w:rPr>
  </w:style>
  <w:style w:type="character" w:customStyle="1" w:styleId="costarpage">
    <w:name w:val="co_starpage"/>
    <w:basedOn w:val="DefaultParagraphFont"/>
    <w:rsid w:val="006D3942"/>
  </w:style>
  <w:style w:type="character" w:styleId="Emphasis">
    <w:name w:val="Emphasis"/>
    <w:basedOn w:val="DefaultParagraphFont"/>
    <w:uiPriority w:val="20"/>
    <w:qFormat/>
    <w:rsid w:val="006D3942"/>
    <w:rPr>
      <w:i/>
      <w:iCs/>
    </w:rPr>
  </w:style>
  <w:style w:type="character" w:customStyle="1" w:styleId="cosmallcaps">
    <w:name w:val="co_smallcaps"/>
    <w:basedOn w:val="DefaultParagraphFont"/>
    <w:rsid w:val="006D3942"/>
  </w:style>
  <w:style w:type="character" w:styleId="FollowedHyperlink">
    <w:name w:val="FollowedHyperlink"/>
    <w:basedOn w:val="DefaultParagraphFont"/>
    <w:uiPriority w:val="99"/>
    <w:semiHidden/>
    <w:unhideWhenUsed/>
    <w:rsid w:val="006D3942"/>
    <w:rPr>
      <w:color w:val="96607D" w:themeColor="followedHyperlink"/>
      <w:u w:val="single"/>
    </w:rPr>
  </w:style>
  <w:style w:type="paragraph" w:styleId="Revision">
    <w:name w:val="Revision"/>
    <w:hidden/>
    <w:uiPriority w:val="99"/>
    <w:semiHidden/>
    <w:rsid w:val="006D3942"/>
    <w:pPr>
      <w:spacing w:after="0" w:line="240" w:lineRule="auto"/>
    </w:pPr>
    <w:rPr>
      <w:sz w:val="24"/>
      <w:szCs w:val="24"/>
    </w:rPr>
  </w:style>
  <w:style w:type="character" w:styleId="CommentReference">
    <w:name w:val="annotation reference"/>
    <w:basedOn w:val="DefaultParagraphFont"/>
    <w:uiPriority w:val="99"/>
    <w:semiHidden/>
    <w:unhideWhenUsed/>
    <w:rsid w:val="006D3942"/>
    <w:rPr>
      <w:sz w:val="16"/>
      <w:szCs w:val="16"/>
    </w:rPr>
  </w:style>
  <w:style w:type="paragraph" w:styleId="CommentText">
    <w:name w:val="annotation text"/>
    <w:basedOn w:val="Normal"/>
    <w:link w:val="CommentTextChar"/>
    <w:uiPriority w:val="99"/>
    <w:unhideWhenUsed/>
    <w:rsid w:val="006D3942"/>
    <w:pPr>
      <w:spacing w:line="240" w:lineRule="auto"/>
    </w:pPr>
    <w:rPr>
      <w:sz w:val="20"/>
      <w:szCs w:val="20"/>
    </w:rPr>
  </w:style>
  <w:style w:type="character" w:customStyle="1" w:styleId="CommentTextChar">
    <w:name w:val="Comment Text Char"/>
    <w:basedOn w:val="DefaultParagraphFont"/>
    <w:link w:val="CommentText"/>
    <w:uiPriority w:val="99"/>
    <w:rsid w:val="006D3942"/>
    <w:rPr>
      <w:sz w:val="20"/>
      <w:szCs w:val="20"/>
    </w:rPr>
  </w:style>
  <w:style w:type="paragraph" w:styleId="CommentSubject">
    <w:name w:val="annotation subject"/>
    <w:basedOn w:val="CommentText"/>
    <w:next w:val="CommentText"/>
    <w:link w:val="CommentSubjectChar"/>
    <w:uiPriority w:val="99"/>
    <w:semiHidden/>
    <w:unhideWhenUsed/>
    <w:rsid w:val="006D3942"/>
    <w:rPr>
      <w:b/>
      <w:bCs/>
    </w:rPr>
  </w:style>
  <w:style w:type="character" w:customStyle="1" w:styleId="CommentSubjectChar">
    <w:name w:val="Comment Subject Char"/>
    <w:basedOn w:val="CommentTextChar"/>
    <w:link w:val="CommentSubject"/>
    <w:uiPriority w:val="99"/>
    <w:semiHidden/>
    <w:rsid w:val="006D3942"/>
    <w:rPr>
      <w:b/>
      <w:bCs/>
      <w:sz w:val="20"/>
      <w:szCs w:val="20"/>
    </w:rPr>
  </w:style>
  <w:style w:type="paragraph" w:customStyle="1" w:styleId="Journalfont">
    <w:name w:val="_Journal font"/>
    <w:qFormat/>
    <w:rsid w:val="006D3942"/>
    <w:pPr>
      <w:suppressLineNumbers/>
      <w:spacing w:after="0" w:line="240" w:lineRule="auto"/>
      <w:jc w:val="both"/>
    </w:pPr>
    <w:rPr>
      <w:rFonts w:ascii="Times New Roman" w:eastAsia="Times New Roman" w:hAnsi="Times New Roman" w:cs="Times New Roman"/>
      <w:kern w:val="0"/>
      <w:szCs w:val="20"/>
      <w14:ligatures w14:val="none"/>
    </w:rPr>
  </w:style>
  <w:style w:type="paragraph" w:customStyle="1" w:styleId="Document">
    <w:name w:val="_Document"/>
    <w:basedOn w:val="Journalfont"/>
    <w:qFormat/>
    <w:rsid w:val="006D3942"/>
    <w:pPr>
      <w:spacing w:before="20"/>
      <w:ind w:firstLine="446"/>
    </w:pPr>
  </w:style>
  <w:style w:type="paragraph" w:customStyle="1" w:styleId="DocumentNoIndent">
    <w:name w:val="_DocumentNoIndent"/>
    <w:basedOn w:val="Document"/>
    <w:next w:val="Document"/>
    <w:qFormat/>
    <w:rsid w:val="006D3942"/>
    <w:pPr>
      <w:ind w:firstLine="0"/>
    </w:pPr>
  </w:style>
  <w:style w:type="paragraph" w:customStyle="1" w:styleId="Abstract">
    <w:name w:val="_Abstract"/>
    <w:basedOn w:val="Journalfont"/>
    <w:qFormat/>
    <w:rsid w:val="006D3942"/>
    <w:pPr>
      <w:spacing w:before="60" w:after="200"/>
      <w:ind w:firstLine="446"/>
    </w:pPr>
    <w:rPr>
      <w:i/>
      <w:sz w:val="21"/>
    </w:rPr>
  </w:style>
  <w:style w:type="paragraph" w:customStyle="1" w:styleId="FootNote">
    <w:name w:val="_FootNote"/>
    <w:basedOn w:val="Journalfont"/>
    <w:qFormat/>
    <w:rsid w:val="006D3942"/>
    <w:pPr>
      <w:tabs>
        <w:tab w:val="left" w:pos="245"/>
      </w:tabs>
      <w:spacing w:before="20"/>
    </w:pPr>
    <w:rPr>
      <w:sz w:val="17"/>
    </w:rPr>
  </w:style>
  <w:style w:type="paragraph" w:customStyle="1" w:styleId="1stBlockQuoteTXT">
    <w:name w:val="_1st_BlockQuote_TXT"/>
    <w:basedOn w:val="Journalfont"/>
    <w:next w:val="Document"/>
    <w:qFormat/>
    <w:rsid w:val="006D3942"/>
    <w:pPr>
      <w:spacing w:before="60" w:after="40"/>
      <w:ind w:left="446" w:right="446"/>
    </w:pPr>
    <w:rPr>
      <w:sz w:val="21"/>
    </w:rPr>
  </w:style>
  <w:style w:type="paragraph" w:customStyle="1" w:styleId="1stBlockQuoteFN">
    <w:name w:val="_1st_BlockQuote_FN"/>
    <w:basedOn w:val="FootNote"/>
    <w:next w:val="FootNote"/>
    <w:qFormat/>
    <w:rsid w:val="006D3942"/>
    <w:pPr>
      <w:tabs>
        <w:tab w:val="clear" w:pos="245"/>
      </w:tabs>
      <w:ind w:left="446" w:right="446"/>
    </w:pPr>
  </w:style>
  <w:style w:type="paragraph" w:customStyle="1" w:styleId="2ndBlockQuoteTXT">
    <w:name w:val="_2nd_BlockQuote_TXT"/>
    <w:basedOn w:val="1stBlockQuoteTXT"/>
    <w:next w:val="Document"/>
    <w:qFormat/>
    <w:rsid w:val="006D3942"/>
    <w:pPr>
      <w:ind w:left="878"/>
    </w:pPr>
  </w:style>
  <w:style w:type="paragraph" w:customStyle="1" w:styleId="ArticleTitle">
    <w:name w:val="_ArticleTitle"/>
    <w:basedOn w:val="Journalfont"/>
    <w:next w:val="Document"/>
    <w:qFormat/>
    <w:rsid w:val="006D3942"/>
    <w:pPr>
      <w:keepNext/>
      <w:widowControl w:val="0"/>
      <w:suppressAutoHyphens/>
      <w:spacing w:after="280"/>
      <w:contextualSpacing/>
      <w:jc w:val="left"/>
    </w:pPr>
    <w:rPr>
      <w:sz w:val="36"/>
    </w:rPr>
  </w:style>
  <w:style w:type="paragraph" w:customStyle="1" w:styleId="AuthorNameArticles">
    <w:name w:val="_AuthorName_Articles"/>
    <w:basedOn w:val="Journalfont"/>
    <w:next w:val="Document"/>
    <w:qFormat/>
    <w:rsid w:val="006D3942"/>
    <w:pPr>
      <w:keepNext/>
      <w:widowControl w:val="0"/>
      <w:suppressAutoHyphens/>
      <w:spacing w:after="200"/>
      <w:contextualSpacing/>
      <w:jc w:val="left"/>
    </w:pPr>
    <w:rPr>
      <w:sz w:val="28"/>
      <w:szCs w:val="22"/>
    </w:rPr>
  </w:style>
  <w:style w:type="paragraph" w:customStyle="1" w:styleId="AuthorNameStudent">
    <w:name w:val="_AuthorName_Student"/>
    <w:basedOn w:val="AuthorNameArticles"/>
    <w:next w:val="Document"/>
    <w:qFormat/>
    <w:rsid w:val="006D3942"/>
    <w:pPr>
      <w:jc w:val="right"/>
    </w:pPr>
    <w:rPr>
      <w:i/>
      <w:sz w:val="22"/>
    </w:rPr>
  </w:style>
  <w:style w:type="paragraph" w:customStyle="1" w:styleId="Head1">
    <w:name w:val="_Head1"/>
    <w:basedOn w:val="Journalfont"/>
    <w:next w:val="Document"/>
    <w:qFormat/>
    <w:rsid w:val="006D3942"/>
    <w:pPr>
      <w:keepNext/>
      <w:widowControl w:val="0"/>
      <w:tabs>
        <w:tab w:val="left" w:pos="446"/>
      </w:tabs>
      <w:suppressAutoHyphens/>
      <w:spacing w:before="240" w:after="80"/>
      <w:ind w:left="446" w:hanging="446"/>
      <w:jc w:val="left"/>
      <w:outlineLvl w:val="0"/>
    </w:pPr>
    <w:rPr>
      <w:szCs w:val="24"/>
    </w:rPr>
  </w:style>
  <w:style w:type="paragraph" w:customStyle="1" w:styleId="Head2">
    <w:name w:val="_Head2"/>
    <w:basedOn w:val="Journalfont"/>
    <w:next w:val="Document"/>
    <w:qFormat/>
    <w:rsid w:val="006D3942"/>
    <w:pPr>
      <w:keepNext/>
      <w:widowControl w:val="0"/>
      <w:tabs>
        <w:tab w:val="left" w:pos="446"/>
      </w:tabs>
      <w:suppressAutoHyphens/>
      <w:spacing w:before="240" w:after="80"/>
      <w:ind w:left="446" w:hanging="446"/>
      <w:jc w:val="left"/>
      <w:outlineLvl w:val="1"/>
    </w:pPr>
    <w:rPr>
      <w:i/>
    </w:rPr>
  </w:style>
  <w:style w:type="paragraph" w:customStyle="1" w:styleId="Head3">
    <w:name w:val="_Head3"/>
    <w:basedOn w:val="Journalfont"/>
    <w:next w:val="Document"/>
    <w:qFormat/>
    <w:rsid w:val="006D3942"/>
    <w:pPr>
      <w:spacing w:before="240"/>
      <w:ind w:firstLine="446"/>
      <w:outlineLvl w:val="2"/>
    </w:pPr>
    <w:rPr>
      <w:i/>
      <w:spacing w:val="-3"/>
    </w:rPr>
  </w:style>
  <w:style w:type="paragraph" w:customStyle="1" w:styleId="Head4">
    <w:name w:val="_Head4"/>
    <w:basedOn w:val="Head3"/>
    <w:next w:val="Document"/>
    <w:qFormat/>
    <w:rsid w:val="006D3942"/>
    <w:pPr>
      <w:outlineLvl w:val="3"/>
    </w:pPr>
  </w:style>
  <w:style w:type="character" w:customStyle="1" w:styleId="NoteRefInNote">
    <w:name w:val="_NoteRefInNote"/>
    <w:basedOn w:val="DefaultParagraphFont"/>
    <w:qFormat/>
    <w:rsid w:val="006D3942"/>
    <w:rPr>
      <w:rFonts w:ascii="Times New Roman" w:hAnsi="Times New Roman"/>
      <w:position w:val="0"/>
      <w:sz w:val="17"/>
      <w:szCs w:val="18"/>
      <w:vertAlign w:val="baseline"/>
    </w:rPr>
  </w:style>
  <w:style w:type="character" w:customStyle="1" w:styleId="NoteRefInText">
    <w:name w:val="_NoteRefInText"/>
    <w:basedOn w:val="DefaultParagraphFont"/>
    <w:qFormat/>
    <w:rsid w:val="006D3942"/>
    <w:rPr>
      <w:rFonts w:ascii="Times New Roman" w:hAnsi="Times New Roman"/>
      <w:position w:val="0"/>
      <w:sz w:val="22"/>
      <w:vertAlign w:val="superscript"/>
    </w:rPr>
  </w:style>
  <w:style w:type="character" w:customStyle="1" w:styleId="NoteRefInAuText">
    <w:name w:val="_NoteRefInAuText"/>
    <w:basedOn w:val="DefaultParagraphFont"/>
    <w:qFormat/>
    <w:rsid w:val="006D3942"/>
    <w:rPr>
      <w:rFonts w:ascii="Times New Roman" w:hAnsi="Times New Roman"/>
      <w:sz w:val="28"/>
      <w:vertAlign w:val="superscript"/>
    </w:rPr>
  </w:style>
  <w:style w:type="paragraph" w:customStyle="1" w:styleId="LawHeaderOdd">
    <w:name w:val="_LawHeaderOdd"/>
    <w:basedOn w:val="Journalfont"/>
    <w:rsid w:val="006D3942"/>
    <w:pPr>
      <w:tabs>
        <w:tab w:val="center" w:pos="3355"/>
        <w:tab w:val="right" w:pos="6725"/>
      </w:tabs>
      <w:spacing w:before="920" w:after="800" w:line="260" w:lineRule="exact"/>
      <w:jc w:val="left"/>
    </w:pPr>
  </w:style>
  <w:style w:type="paragraph" w:customStyle="1" w:styleId="LawHeaderEven">
    <w:name w:val="_LawHeaderEven"/>
    <w:basedOn w:val="LawHeaderOdd"/>
    <w:rsid w:val="006D3942"/>
  </w:style>
  <w:style w:type="paragraph" w:customStyle="1" w:styleId="toc10">
    <w:name w:val="_toc1"/>
    <w:basedOn w:val="Journalfont"/>
    <w:next w:val="Document"/>
    <w:qFormat/>
    <w:rsid w:val="006D3942"/>
    <w:pPr>
      <w:tabs>
        <w:tab w:val="left" w:pos="403"/>
        <w:tab w:val="right" w:leader="dot" w:pos="6725"/>
      </w:tabs>
      <w:spacing w:line="260" w:lineRule="exact"/>
      <w:ind w:left="403" w:right="446" w:hanging="403"/>
      <w:jc w:val="left"/>
    </w:pPr>
    <w:rPr>
      <w:smallCaps/>
      <w:noProof/>
      <w:szCs w:val="22"/>
    </w:rPr>
  </w:style>
  <w:style w:type="paragraph" w:customStyle="1" w:styleId="toc20">
    <w:name w:val="_toc2"/>
    <w:basedOn w:val="Journalfont"/>
    <w:next w:val="Document"/>
    <w:qFormat/>
    <w:rsid w:val="006D3942"/>
    <w:pPr>
      <w:tabs>
        <w:tab w:val="left" w:pos="1008"/>
        <w:tab w:val="right" w:leader="dot" w:pos="6725"/>
      </w:tabs>
      <w:spacing w:line="260" w:lineRule="exact"/>
      <w:ind w:left="1008" w:right="446" w:hanging="403"/>
      <w:jc w:val="left"/>
    </w:pPr>
    <w:rPr>
      <w:noProof/>
    </w:rPr>
  </w:style>
  <w:style w:type="paragraph" w:customStyle="1" w:styleId="toc3">
    <w:name w:val="_toc3"/>
    <w:basedOn w:val="Journalfont"/>
    <w:next w:val="Document"/>
    <w:qFormat/>
    <w:rsid w:val="006D3942"/>
    <w:pPr>
      <w:tabs>
        <w:tab w:val="left" w:pos="1310"/>
        <w:tab w:val="right" w:leader="dot" w:pos="6725"/>
      </w:tabs>
      <w:spacing w:line="260" w:lineRule="exact"/>
      <w:ind w:left="1311" w:right="446" w:hanging="317"/>
      <w:jc w:val="left"/>
    </w:pPr>
    <w:rPr>
      <w:i/>
      <w:noProof/>
    </w:rPr>
  </w:style>
  <w:style w:type="paragraph" w:styleId="TOC30">
    <w:name w:val="toc 3"/>
    <w:basedOn w:val="toc3"/>
    <w:next w:val="Document"/>
    <w:uiPriority w:val="39"/>
    <w:unhideWhenUsed/>
    <w:rsid w:val="006D3942"/>
  </w:style>
  <w:style w:type="paragraph" w:customStyle="1" w:styleId="FootnoteSeparator">
    <w:name w:val="_FootnoteSeparator"/>
    <w:basedOn w:val="Journalfont"/>
    <w:next w:val="FootNote"/>
    <w:rsid w:val="006D3942"/>
    <w:pPr>
      <w:pBdr>
        <w:bottom w:val="single" w:sz="6" w:space="1" w:color="auto"/>
      </w:pBdr>
      <w:spacing w:after="80"/>
      <w:jc w:val="left"/>
    </w:pPr>
  </w:style>
  <w:style w:type="paragraph" w:customStyle="1" w:styleId="ImagePlaceholder">
    <w:name w:val="_ImagePlaceholder"/>
    <w:basedOn w:val="Journalfont"/>
    <w:next w:val="Document"/>
    <w:qFormat/>
    <w:rsid w:val="006D3942"/>
  </w:style>
  <w:style w:type="character" w:customStyle="1" w:styleId="normaltextrun">
    <w:name w:val="normaltextrun"/>
    <w:basedOn w:val="DefaultParagraphFont"/>
    <w:rsid w:val="00106D5A"/>
  </w:style>
  <w:style w:type="character" w:customStyle="1" w:styleId="eop">
    <w:name w:val="eop"/>
    <w:basedOn w:val="DefaultParagraphFont"/>
    <w:rsid w:val="00106D5A"/>
  </w:style>
  <w:style w:type="paragraph" w:styleId="TOC4">
    <w:name w:val="toc 4"/>
    <w:basedOn w:val="Normal"/>
    <w:next w:val="Normal"/>
    <w:autoRedefine/>
    <w:uiPriority w:val="39"/>
    <w:semiHidden/>
    <w:unhideWhenUsed/>
    <w:rsid w:val="00083331"/>
    <w:pPr>
      <w:spacing w:after="100"/>
      <w:ind w:left="720"/>
    </w:pPr>
  </w:style>
  <w:style w:type="paragraph" w:styleId="TOC5">
    <w:name w:val="toc 5"/>
    <w:basedOn w:val="Normal"/>
    <w:next w:val="Normal"/>
    <w:autoRedefine/>
    <w:uiPriority w:val="39"/>
    <w:semiHidden/>
    <w:unhideWhenUsed/>
    <w:rsid w:val="00083331"/>
    <w:pPr>
      <w:spacing w:after="100"/>
      <w:ind w:left="960"/>
    </w:pPr>
  </w:style>
  <w:style w:type="paragraph" w:styleId="TOC6">
    <w:name w:val="toc 6"/>
    <w:basedOn w:val="Normal"/>
    <w:next w:val="Normal"/>
    <w:autoRedefine/>
    <w:uiPriority w:val="39"/>
    <w:semiHidden/>
    <w:unhideWhenUsed/>
    <w:rsid w:val="00083331"/>
    <w:pPr>
      <w:spacing w:after="100"/>
      <w:ind w:left="1200"/>
    </w:pPr>
  </w:style>
  <w:style w:type="paragraph" w:styleId="TOC7">
    <w:name w:val="toc 7"/>
    <w:basedOn w:val="Normal"/>
    <w:next w:val="Normal"/>
    <w:autoRedefine/>
    <w:uiPriority w:val="39"/>
    <w:semiHidden/>
    <w:unhideWhenUsed/>
    <w:rsid w:val="00083331"/>
    <w:pPr>
      <w:spacing w:after="100"/>
      <w:ind w:left="1440"/>
    </w:pPr>
  </w:style>
  <w:style w:type="paragraph" w:styleId="TOC8">
    <w:name w:val="toc 8"/>
    <w:basedOn w:val="Normal"/>
    <w:next w:val="Normal"/>
    <w:autoRedefine/>
    <w:uiPriority w:val="39"/>
    <w:semiHidden/>
    <w:unhideWhenUsed/>
    <w:rsid w:val="00083331"/>
    <w:pPr>
      <w:spacing w:after="100"/>
      <w:ind w:left="1680"/>
    </w:pPr>
  </w:style>
  <w:style w:type="paragraph" w:styleId="TOC9">
    <w:name w:val="toc 9"/>
    <w:basedOn w:val="Normal"/>
    <w:next w:val="Normal"/>
    <w:autoRedefine/>
    <w:uiPriority w:val="39"/>
    <w:semiHidden/>
    <w:unhideWhenUsed/>
    <w:rsid w:val="0008333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6988">
      <w:bodyDiv w:val="1"/>
      <w:marLeft w:val="0"/>
      <w:marRight w:val="0"/>
      <w:marTop w:val="0"/>
      <w:marBottom w:val="0"/>
      <w:divBdr>
        <w:top w:val="none" w:sz="0" w:space="0" w:color="auto"/>
        <w:left w:val="none" w:sz="0" w:space="0" w:color="auto"/>
        <w:bottom w:val="none" w:sz="0" w:space="0" w:color="auto"/>
        <w:right w:val="none" w:sz="0" w:space="0" w:color="auto"/>
      </w:divBdr>
    </w:div>
    <w:div w:id="70080933">
      <w:bodyDiv w:val="1"/>
      <w:marLeft w:val="0"/>
      <w:marRight w:val="0"/>
      <w:marTop w:val="0"/>
      <w:marBottom w:val="0"/>
      <w:divBdr>
        <w:top w:val="none" w:sz="0" w:space="0" w:color="auto"/>
        <w:left w:val="none" w:sz="0" w:space="0" w:color="auto"/>
        <w:bottom w:val="none" w:sz="0" w:space="0" w:color="auto"/>
        <w:right w:val="none" w:sz="0" w:space="0" w:color="auto"/>
      </w:divBdr>
      <w:divsChild>
        <w:div w:id="752975534">
          <w:marLeft w:val="0"/>
          <w:marRight w:val="0"/>
          <w:marTop w:val="0"/>
          <w:marBottom w:val="0"/>
          <w:divBdr>
            <w:top w:val="none" w:sz="0" w:space="0" w:color="3D3D3D"/>
            <w:left w:val="none" w:sz="0" w:space="0" w:color="3D3D3D"/>
            <w:bottom w:val="none" w:sz="0" w:space="0" w:color="3D3D3D"/>
            <w:right w:val="none" w:sz="0" w:space="0" w:color="3D3D3D"/>
          </w:divBdr>
          <w:divsChild>
            <w:div w:id="15272102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2657301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44">
          <w:marLeft w:val="0"/>
          <w:marRight w:val="0"/>
          <w:marTop w:val="0"/>
          <w:marBottom w:val="0"/>
          <w:divBdr>
            <w:top w:val="none" w:sz="0" w:space="0" w:color="3D3D3D"/>
            <w:left w:val="none" w:sz="0" w:space="0" w:color="3D3D3D"/>
            <w:bottom w:val="none" w:sz="0" w:space="0" w:color="3D3D3D"/>
            <w:right w:val="none" w:sz="0" w:space="0" w:color="3D3D3D"/>
          </w:divBdr>
          <w:divsChild>
            <w:div w:id="5197061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4001794">
      <w:bodyDiv w:val="1"/>
      <w:marLeft w:val="0"/>
      <w:marRight w:val="0"/>
      <w:marTop w:val="0"/>
      <w:marBottom w:val="0"/>
      <w:divBdr>
        <w:top w:val="none" w:sz="0" w:space="0" w:color="auto"/>
        <w:left w:val="none" w:sz="0" w:space="0" w:color="auto"/>
        <w:bottom w:val="none" w:sz="0" w:space="0" w:color="auto"/>
        <w:right w:val="none" w:sz="0" w:space="0" w:color="auto"/>
      </w:divBdr>
    </w:div>
    <w:div w:id="377897440">
      <w:bodyDiv w:val="1"/>
      <w:marLeft w:val="0"/>
      <w:marRight w:val="0"/>
      <w:marTop w:val="0"/>
      <w:marBottom w:val="0"/>
      <w:divBdr>
        <w:top w:val="none" w:sz="0" w:space="0" w:color="auto"/>
        <w:left w:val="none" w:sz="0" w:space="0" w:color="auto"/>
        <w:bottom w:val="none" w:sz="0" w:space="0" w:color="auto"/>
        <w:right w:val="none" w:sz="0" w:space="0" w:color="auto"/>
      </w:divBdr>
    </w:div>
    <w:div w:id="438334788">
      <w:bodyDiv w:val="1"/>
      <w:marLeft w:val="0"/>
      <w:marRight w:val="0"/>
      <w:marTop w:val="0"/>
      <w:marBottom w:val="0"/>
      <w:divBdr>
        <w:top w:val="none" w:sz="0" w:space="0" w:color="auto"/>
        <w:left w:val="none" w:sz="0" w:space="0" w:color="auto"/>
        <w:bottom w:val="none" w:sz="0" w:space="0" w:color="auto"/>
        <w:right w:val="none" w:sz="0" w:space="0" w:color="auto"/>
      </w:divBdr>
    </w:div>
    <w:div w:id="533857344">
      <w:bodyDiv w:val="1"/>
      <w:marLeft w:val="0"/>
      <w:marRight w:val="0"/>
      <w:marTop w:val="0"/>
      <w:marBottom w:val="0"/>
      <w:divBdr>
        <w:top w:val="none" w:sz="0" w:space="0" w:color="auto"/>
        <w:left w:val="none" w:sz="0" w:space="0" w:color="auto"/>
        <w:bottom w:val="none" w:sz="0" w:space="0" w:color="auto"/>
        <w:right w:val="none" w:sz="0" w:space="0" w:color="auto"/>
      </w:divBdr>
    </w:div>
    <w:div w:id="669983947">
      <w:bodyDiv w:val="1"/>
      <w:marLeft w:val="0"/>
      <w:marRight w:val="0"/>
      <w:marTop w:val="0"/>
      <w:marBottom w:val="0"/>
      <w:divBdr>
        <w:top w:val="none" w:sz="0" w:space="0" w:color="auto"/>
        <w:left w:val="none" w:sz="0" w:space="0" w:color="auto"/>
        <w:bottom w:val="none" w:sz="0" w:space="0" w:color="auto"/>
        <w:right w:val="none" w:sz="0" w:space="0" w:color="auto"/>
      </w:divBdr>
    </w:div>
    <w:div w:id="735275681">
      <w:bodyDiv w:val="1"/>
      <w:marLeft w:val="0"/>
      <w:marRight w:val="0"/>
      <w:marTop w:val="0"/>
      <w:marBottom w:val="0"/>
      <w:divBdr>
        <w:top w:val="none" w:sz="0" w:space="0" w:color="auto"/>
        <w:left w:val="none" w:sz="0" w:space="0" w:color="auto"/>
        <w:bottom w:val="none" w:sz="0" w:space="0" w:color="auto"/>
        <w:right w:val="none" w:sz="0" w:space="0" w:color="auto"/>
      </w:divBdr>
      <w:divsChild>
        <w:div w:id="796143670">
          <w:marLeft w:val="0"/>
          <w:marRight w:val="0"/>
          <w:marTop w:val="0"/>
          <w:marBottom w:val="0"/>
          <w:divBdr>
            <w:top w:val="none" w:sz="0" w:space="0" w:color="3D3D3D"/>
            <w:left w:val="none" w:sz="0" w:space="0" w:color="3D3D3D"/>
            <w:bottom w:val="none" w:sz="0" w:space="0" w:color="3D3D3D"/>
            <w:right w:val="none" w:sz="0" w:space="0" w:color="3D3D3D"/>
          </w:divBdr>
          <w:divsChild>
            <w:div w:id="13690651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9591977">
      <w:bodyDiv w:val="1"/>
      <w:marLeft w:val="0"/>
      <w:marRight w:val="0"/>
      <w:marTop w:val="0"/>
      <w:marBottom w:val="0"/>
      <w:divBdr>
        <w:top w:val="none" w:sz="0" w:space="0" w:color="auto"/>
        <w:left w:val="none" w:sz="0" w:space="0" w:color="auto"/>
        <w:bottom w:val="none" w:sz="0" w:space="0" w:color="auto"/>
        <w:right w:val="none" w:sz="0" w:space="0" w:color="auto"/>
      </w:divBdr>
      <w:divsChild>
        <w:div w:id="203493668">
          <w:marLeft w:val="0"/>
          <w:marRight w:val="0"/>
          <w:marTop w:val="0"/>
          <w:marBottom w:val="0"/>
          <w:divBdr>
            <w:top w:val="none" w:sz="0" w:space="0" w:color="3D3D3D"/>
            <w:left w:val="none" w:sz="0" w:space="0" w:color="3D3D3D"/>
            <w:bottom w:val="none" w:sz="0" w:space="0" w:color="3D3D3D"/>
            <w:right w:val="none" w:sz="0" w:space="0" w:color="3D3D3D"/>
          </w:divBdr>
          <w:divsChild>
            <w:div w:id="19974925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5612060">
      <w:bodyDiv w:val="1"/>
      <w:marLeft w:val="0"/>
      <w:marRight w:val="0"/>
      <w:marTop w:val="0"/>
      <w:marBottom w:val="0"/>
      <w:divBdr>
        <w:top w:val="none" w:sz="0" w:space="0" w:color="auto"/>
        <w:left w:val="none" w:sz="0" w:space="0" w:color="auto"/>
        <w:bottom w:val="none" w:sz="0" w:space="0" w:color="auto"/>
        <w:right w:val="none" w:sz="0" w:space="0" w:color="auto"/>
      </w:divBdr>
      <w:divsChild>
        <w:div w:id="440150040">
          <w:marLeft w:val="0"/>
          <w:marRight w:val="0"/>
          <w:marTop w:val="0"/>
          <w:marBottom w:val="0"/>
          <w:divBdr>
            <w:top w:val="none" w:sz="0" w:space="0" w:color="3D3D3D"/>
            <w:left w:val="none" w:sz="0" w:space="0" w:color="3D3D3D"/>
            <w:bottom w:val="none" w:sz="0" w:space="0" w:color="3D3D3D"/>
            <w:right w:val="none" w:sz="0" w:space="0" w:color="3D3D3D"/>
          </w:divBdr>
          <w:divsChild>
            <w:div w:id="2543636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9092819">
      <w:bodyDiv w:val="1"/>
      <w:marLeft w:val="0"/>
      <w:marRight w:val="0"/>
      <w:marTop w:val="0"/>
      <w:marBottom w:val="0"/>
      <w:divBdr>
        <w:top w:val="none" w:sz="0" w:space="0" w:color="auto"/>
        <w:left w:val="none" w:sz="0" w:space="0" w:color="auto"/>
        <w:bottom w:val="none" w:sz="0" w:space="0" w:color="auto"/>
        <w:right w:val="none" w:sz="0" w:space="0" w:color="auto"/>
      </w:divBdr>
      <w:divsChild>
        <w:div w:id="1341469554">
          <w:marLeft w:val="0"/>
          <w:marRight w:val="0"/>
          <w:marTop w:val="0"/>
          <w:marBottom w:val="0"/>
          <w:divBdr>
            <w:top w:val="none" w:sz="0" w:space="0" w:color="3D3D3D"/>
            <w:left w:val="none" w:sz="0" w:space="0" w:color="3D3D3D"/>
            <w:bottom w:val="none" w:sz="0" w:space="0" w:color="3D3D3D"/>
            <w:right w:val="none" w:sz="0" w:space="0" w:color="3D3D3D"/>
          </w:divBdr>
          <w:divsChild>
            <w:div w:id="12703138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5658073">
      <w:bodyDiv w:val="1"/>
      <w:marLeft w:val="0"/>
      <w:marRight w:val="0"/>
      <w:marTop w:val="0"/>
      <w:marBottom w:val="0"/>
      <w:divBdr>
        <w:top w:val="none" w:sz="0" w:space="0" w:color="auto"/>
        <w:left w:val="none" w:sz="0" w:space="0" w:color="auto"/>
        <w:bottom w:val="none" w:sz="0" w:space="0" w:color="auto"/>
        <w:right w:val="none" w:sz="0" w:space="0" w:color="auto"/>
      </w:divBdr>
      <w:divsChild>
        <w:div w:id="1840077518">
          <w:marLeft w:val="0"/>
          <w:marRight w:val="0"/>
          <w:marTop w:val="0"/>
          <w:marBottom w:val="0"/>
          <w:divBdr>
            <w:top w:val="none" w:sz="0" w:space="0" w:color="3D3D3D"/>
            <w:left w:val="none" w:sz="0" w:space="0" w:color="3D3D3D"/>
            <w:bottom w:val="none" w:sz="0" w:space="0" w:color="3D3D3D"/>
            <w:right w:val="none" w:sz="0" w:space="0" w:color="3D3D3D"/>
          </w:divBdr>
          <w:divsChild>
            <w:div w:id="16884085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2184932">
      <w:bodyDiv w:val="1"/>
      <w:marLeft w:val="0"/>
      <w:marRight w:val="0"/>
      <w:marTop w:val="0"/>
      <w:marBottom w:val="0"/>
      <w:divBdr>
        <w:top w:val="none" w:sz="0" w:space="0" w:color="auto"/>
        <w:left w:val="none" w:sz="0" w:space="0" w:color="auto"/>
        <w:bottom w:val="none" w:sz="0" w:space="0" w:color="auto"/>
        <w:right w:val="none" w:sz="0" w:space="0" w:color="auto"/>
      </w:divBdr>
    </w:div>
    <w:div w:id="1235235845">
      <w:bodyDiv w:val="1"/>
      <w:marLeft w:val="0"/>
      <w:marRight w:val="0"/>
      <w:marTop w:val="0"/>
      <w:marBottom w:val="0"/>
      <w:divBdr>
        <w:top w:val="none" w:sz="0" w:space="0" w:color="auto"/>
        <w:left w:val="none" w:sz="0" w:space="0" w:color="auto"/>
        <w:bottom w:val="none" w:sz="0" w:space="0" w:color="auto"/>
        <w:right w:val="none" w:sz="0" w:space="0" w:color="auto"/>
      </w:divBdr>
      <w:divsChild>
        <w:div w:id="1827745610">
          <w:marLeft w:val="0"/>
          <w:marRight w:val="0"/>
          <w:marTop w:val="0"/>
          <w:marBottom w:val="0"/>
          <w:divBdr>
            <w:top w:val="none" w:sz="0" w:space="0" w:color="3D3D3D"/>
            <w:left w:val="none" w:sz="0" w:space="0" w:color="3D3D3D"/>
            <w:bottom w:val="none" w:sz="0" w:space="0" w:color="3D3D3D"/>
            <w:right w:val="none" w:sz="0" w:space="0" w:color="3D3D3D"/>
          </w:divBdr>
          <w:divsChild>
            <w:div w:id="16466593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7547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4206">
          <w:marLeft w:val="0"/>
          <w:marRight w:val="0"/>
          <w:marTop w:val="0"/>
          <w:marBottom w:val="0"/>
          <w:divBdr>
            <w:top w:val="none" w:sz="0" w:space="0" w:color="3D3D3D"/>
            <w:left w:val="none" w:sz="0" w:space="0" w:color="3D3D3D"/>
            <w:bottom w:val="none" w:sz="0" w:space="0" w:color="3D3D3D"/>
            <w:right w:val="none" w:sz="0" w:space="0" w:color="3D3D3D"/>
          </w:divBdr>
          <w:divsChild>
            <w:div w:id="2722029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5795368">
      <w:bodyDiv w:val="1"/>
      <w:marLeft w:val="0"/>
      <w:marRight w:val="0"/>
      <w:marTop w:val="0"/>
      <w:marBottom w:val="0"/>
      <w:divBdr>
        <w:top w:val="none" w:sz="0" w:space="0" w:color="auto"/>
        <w:left w:val="none" w:sz="0" w:space="0" w:color="auto"/>
        <w:bottom w:val="none" w:sz="0" w:space="0" w:color="auto"/>
        <w:right w:val="none" w:sz="0" w:space="0" w:color="auto"/>
      </w:divBdr>
    </w:div>
    <w:div w:id="1247034025">
      <w:bodyDiv w:val="1"/>
      <w:marLeft w:val="0"/>
      <w:marRight w:val="0"/>
      <w:marTop w:val="0"/>
      <w:marBottom w:val="0"/>
      <w:divBdr>
        <w:top w:val="none" w:sz="0" w:space="0" w:color="auto"/>
        <w:left w:val="none" w:sz="0" w:space="0" w:color="auto"/>
        <w:bottom w:val="none" w:sz="0" w:space="0" w:color="auto"/>
        <w:right w:val="none" w:sz="0" w:space="0" w:color="auto"/>
      </w:divBdr>
    </w:div>
    <w:div w:id="1384595419">
      <w:bodyDiv w:val="1"/>
      <w:marLeft w:val="0"/>
      <w:marRight w:val="0"/>
      <w:marTop w:val="0"/>
      <w:marBottom w:val="0"/>
      <w:divBdr>
        <w:top w:val="none" w:sz="0" w:space="0" w:color="auto"/>
        <w:left w:val="none" w:sz="0" w:space="0" w:color="auto"/>
        <w:bottom w:val="none" w:sz="0" w:space="0" w:color="auto"/>
        <w:right w:val="none" w:sz="0" w:space="0" w:color="auto"/>
      </w:divBdr>
      <w:divsChild>
        <w:div w:id="1501845005">
          <w:marLeft w:val="0"/>
          <w:marRight w:val="0"/>
          <w:marTop w:val="0"/>
          <w:marBottom w:val="0"/>
          <w:divBdr>
            <w:top w:val="none" w:sz="0" w:space="0" w:color="3D3D3D"/>
            <w:left w:val="none" w:sz="0" w:space="0" w:color="3D3D3D"/>
            <w:bottom w:val="none" w:sz="0" w:space="0" w:color="3D3D3D"/>
            <w:right w:val="none" w:sz="0" w:space="0" w:color="3D3D3D"/>
          </w:divBdr>
          <w:divsChild>
            <w:div w:id="19744061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8297677">
      <w:bodyDiv w:val="1"/>
      <w:marLeft w:val="0"/>
      <w:marRight w:val="0"/>
      <w:marTop w:val="0"/>
      <w:marBottom w:val="0"/>
      <w:divBdr>
        <w:top w:val="none" w:sz="0" w:space="0" w:color="auto"/>
        <w:left w:val="none" w:sz="0" w:space="0" w:color="auto"/>
        <w:bottom w:val="none" w:sz="0" w:space="0" w:color="auto"/>
        <w:right w:val="none" w:sz="0" w:space="0" w:color="auto"/>
      </w:divBdr>
    </w:div>
    <w:div w:id="1608349757">
      <w:bodyDiv w:val="1"/>
      <w:marLeft w:val="0"/>
      <w:marRight w:val="0"/>
      <w:marTop w:val="0"/>
      <w:marBottom w:val="0"/>
      <w:divBdr>
        <w:top w:val="none" w:sz="0" w:space="0" w:color="auto"/>
        <w:left w:val="none" w:sz="0" w:space="0" w:color="auto"/>
        <w:bottom w:val="none" w:sz="0" w:space="0" w:color="auto"/>
        <w:right w:val="none" w:sz="0" w:space="0" w:color="auto"/>
      </w:divBdr>
      <w:divsChild>
        <w:div w:id="112988761">
          <w:marLeft w:val="0"/>
          <w:marRight w:val="0"/>
          <w:marTop w:val="0"/>
          <w:marBottom w:val="0"/>
          <w:divBdr>
            <w:top w:val="none" w:sz="0" w:space="0" w:color="3D3D3D"/>
            <w:left w:val="none" w:sz="0" w:space="0" w:color="3D3D3D"/>
            <w:bottom w:val="none" w:sz="0" w:space="0" w:color="3D3D3D"/>
            <w:right w:val="none" w:sz="0" w:space="0" w:color="3D3D3D"/>
          </w:divBdr>
          <w:divsChild>
            <w:div w:id="10869192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4022180">
      <w:bodyDiv w:val="1"/>
      <w:marLeft w:val="0"/>
      <w:marRight w:val="0"/>
      <w:marTop w:val="0"/>
      <w:marBottom w:val="0"/>
      <w:divBdr>
        <w:top w:val="none" w:sz="0" w:space="0" w:color="auto"/>
        <w:left w:val="none" w:sz="0" w:space="0" w:color="auto"/>
        <w:bottom w:val="none" w:sz="0" w:space="0" w:color="auto"/>
        <w:right w:val="none" w:sz="0" w:space="0" w:color="auto"/>
      </w:divBdr>
      <w:divsChild>
        <w:div w:id="504368952">
          <w:marLeft w:val="0"/>
          <w:marRight w:val="0"/>
          <w:marTop w:val="0"/>
          <w:marBottom w:val="0"/>
          <w:divBdr>
            <w:top w:val="none" w:sz="0" w:space="0" w:color="3D3D3D"/>
            <w:left w:val="none" w:sz="0" w:space="0" w:color="3D3D3D"/>
            <w:bottom w:val="none" w:sz="0" w:space="0" w:color="3D3D3D"/>
            <w:right w:val="none" w:sz="0" w:space="0" w:color="3D3D3D"/>
          </w:divBdr>
          <w:divsChild>
            <w:div w:id="14972637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8340323">
      <w:bodyDiv w:val="1"/>
      <w:marLeft w:val="0"/>
      <w:marRight w:val="0"/>
      <w:marTop w:val="0"/>
      <w:marBottom w:val="0"/>
      <w:divBdr>
        <w:top w:val="none" w:sz="0" w:space="0" w:color="auto"/>
        <w:left w:val="none" w:sz="0" w:space="0" w:color="auto"/>
        <w:bottom w:val="none" w:sz="0" w:space="0" w:color="auto"/>
        <w:right w:val="none" w:sz="0" w:space="0" w:color="auto"/>
      </w:divBdr>
    </w:div>
    <w:div w:id="1739285231">
      <w:bodyDiv w:val="1"/>
      <w:marLeft w:val="0"/>
      <w:marRight w:val="0"/>
      <w:marTop w:val="0"/>
      <w:marBottom w:val="0"/>
      <w:divBdr>
        <w:top w:val="none" w:sz="0" w:space="0" w:color="auto"/>
        <w:left w:val="none" w:sz="0" w:space="0" w:color="auto"/>
        <w:bottom w:val="none" w:sz="0" w:space="0" w:color="auto"/>
        <w:right w:val="none" w:sz="0" w:space="0" w:color="auto"/>
      </w:divBdr>
    </w:div>
    <w:div w:id="1800996890">
      <w:bodyDiv w:val="1"/>
      <w:marLeft w:val="0"/>
      <w:marRight w:val="0"/>
      <w:marTop w:val="0"/>
      <w:marBottom w:val="0"/>
      <w:divBdr>
        <w:top w:val="none" w:sz="0" w:space="0" w:color="auto"/>
        <w:left w:val="none" w:sz="0" w:space="0" w:color="auto"/>
        <w:bottom w:val="none" w:sz="0" w:space="0" w:color="auto"/>
        <w:right w:val="none" w:sz="0" w:space="0" w:color="auto"/>
      </w:divBdr>
      <w:divsChild>
        <w:div w:id="1563906760">
          <w:marLeft w:val="0"/>
          <w:marRight w:val="0"/>
          <w:marTop w:val="0"/>
          <w:marBottom w:val="0"/>
          <w:divBdr>
            <w:top w:val="none" w:sz="0" w:space="0" w:color="3D3D3D"/>
            <w:left w:val="none" w:sz="0" w:space="0" w:color="3D3D3D"/>
            <w:bottom w:val="none" w:sz="0" w:space="0" w:color="3D3D3D"/>
            <w:right w:val="none" w:sz="0" w:space="0" w:color="3D3D3D"/>
          </w:divBdr>
          <w:divsChild>
            <w:div w:id="1770198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8814753">
      <w:bodyDiv w:val="1"/>
      <w:marLeft w:val="0"/>
      <w:marRight w:val="0"/>
      <w:marTop w:val="0"/>
      <w:marBottom w:val="0"/>
      <w:divBdr>
        <w:top w:val="none" w:sz="0" w:space="0" w:color="auto"/>
        <w:left w:val="none" w:sz="0" w:space="0" w:color="auto"/>
        <w:bottom w:val="none" w:sz="0" w:space="0" w:color="auto"/>
        <w:right w:val="none" w:sz="0" w:space="0" w:color="auto"/>
      </w:divBdr>
    </w:div>
    <w:div w:id="1882329347">
      <w:bodyDiv w:val="1"/>
      <w:marLeft w:val="0"/>
      <w:marRight w:val="0"/>
      <w:marTop w:val="0"/>
      <w:marBottom w:val="0"/>
      <w:divBdr>
        <w:top w:val="none" w:sz="0" w:space="0" w:color="auto"/>
        <w:left w:val="none" w:sz="0" w:space="0" w:color="auto"/>
        <w:bottom w:val="none" w:sz="0" w:space="0" w:color="auto"/>
        <w:right w:val="none" w:sz="0" w:space="0" w:color="auto"/>
      </w:divBdr>
    </w:div>
    <w:div w:id="1906799898">
      <w:bodyDiv w:val="1"/>
      <w:marLeft w:val="0"/>
      <w:marRight w:val="0"/>
      <w:marTop w:val="0"/>
      <w:marBottom w:val="0"/>
      <w:divBdr>
        <w:top w:val="none" w:sz="0" w:space="0" w:color="auto"/>
        <w:left w:val="none" w:sz="0" w:space="0" w:color="auto"/>
        <w:bottom w:val="none" w:sz="0" w:space="0" w:color="auto"/>
        <w:right w:val="none" w:sz="0" w:space="0" w:color="auto"/>
      </w:divBdr>
      <w:divsChild>
        <w:div w:id="2133938815">
          <w:marLeft w:val="0"/>
          <w:marRight w:val="0"/>
          <w:marTop w:val="0"/>
          <w:marBottom w:val="0"/>
          <w:divBdr>
            <w:top w:val="none" w:sz="0" w:space="0" w:color="3D3D3D"/>
            <w:left w:val="none" w:sz="0" w:space="0" w:color="3D3D3D"/>
            <w:bottom w:val="none" w:sz="0" w:space="0" w:color="3D3D3D"/>
            <w:right w:val="none" w:sz="0" w:space="0" w:color="3D3D3D"/>
          </w:divBdr>
          <w:divsChild>
            <w:div w:id="2971061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92782883">
      <w:bodyDiv w:val="1"/>
      <w:marLeft w:val="0"/>
      <w:marRight w:val="0"/>
      <w:marTop w:val="0"/>
      <w:marBottom w:val="0"/>
      <w:divBdr>
        <w:top w:val="none" w:sz="0" w:space="0" w:color="auto"/>
        <w:left w:val="none" w:sz="0" w:space="0" w:color="auto"/>
        <w:bottom w:val="none" w:sz="0" w:space="0" w:color="auto"/>
        <w:right w:val="none" w:sz="0" w:space="0" w:color="auto"/>
      </w:divBdr>
    </w:div>
    <w:div w:id="2003770781">
      <w:bodyDiv w:val="1"/>
      <w:marLeft w:val="0"/>
      <w:marRight w:val="0"/>
      <w:marTop w:val="0"/>
      <w:marBottom w:val="0"/>
      <w:divBdr>
        <w:top w:val="none" w:sz="0" w:space="0" w:color="auto"/>
        <w:left w:val="none" w:sz="0" w:space="0" w:color="auto"/>
        <w:bottom w:val="none" w:sz="0" w:space="0" w:color="auto"/>
        <w:right w:val="none" w:sz="0" w:space="0" w:color="auto"/>
      </w:divBdr>
      <w:divsChild>
        <w:div w:id="792212573">
          <w:marLeft w:val="0"/>
          <w:marRight w:val="0"/>
          <w:marTop w:val="0"/>
          <w:marBottom w:val="0"/>
          <w:divBdr>
            <w:top w:val="none" w:sz="0" w:space="0" w:color="3D3D3D"/>
            <w:left w:val="none" w:sz="0" w:space="0" w:color="3D3D3D"/>
            <w:bottom w:val="none" w:sz="0" w:space="0" w:color="3D3D3D"/>
            <w:right w:val="none" w:sz="0" w:space="0" w:color="3D3D3D"/>
          </w:divBdr>
          <w:divsChild>
            <w:div w:id="16448928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3310970">
      <w:bodyDiv w:val="1"/>
      <w:marLeft w:val="0"/>
      <w:marRight w:val="0"/>
      <w:marTop w:val="0"/>
      <w:marBottom w:val="0"/>
      <w:divBdr>
        <w:top w:val="none" w:sz="0" w:space="0" w:color="auto"/>
        <w:left w:val="none" w:sz="0" w:space="0" w:color="auto"/>
        <w:bottom w:val="none" w:sz="0" w:space="0" w:color="auto"/>
        <w:right w:val="none" w:sz="0" w:space="0" w:color="auto"/>
      </w:divBdr>
    </w:div>
    <w:div w:id="2095974683">
      <w:bodyDiv w:val="1"/>
      <w:marLeft w:val="0"/>
      <w:marRight w:val="0"/>
      <w:marTop w:val="0"/>
      <w:marBottom w:val="0"/>
      <w:divBdr>
        <w:top w:val="none" w:sz="0" w:space="0" w:color="auto"/>
        <w:left w:val="none" w:sz="0" w:space="0" w:color="auto"/>
        <w:bottom w:val="none" w:sz="0" w:space="0" w:color="auto"/>
        <w:right w:val="none" w:sz="0" w:space="0" w:color="auto"/>
      </w:divBdr>
      <w:divsChild>
        <w:div w:id="342440590">
          <w:marLeft w:val="0"/>
          <w:marRight w:val="0"/>
          <w:marTop w:val="0"/>
          <w:marBottom w:val="0"/>
          <w:divBdr>
            <w:top w:val="none" w:sz="0" w:space="0" w:color="3D3D3D"/>
            <w:left w:val="none" w:sz="0" w:space="0" w:color="3D3D3D"/>
            <w:bottom w:val="none" w:sz="0" w:space="0" w:color="3D3D3D"/>
            <w:right w:val="none" w:sz="0" w:space="0" w:color="3D3D3D"/>
          </w:divBdr>
          <w:divsChild>
            <w:div w:id="12977576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b7a90b3-3cdf-47cf-8886-c3fd16c70273" xsi:nil="true"/>
    <Author0 xmlns="6c3a28ff-2de4-4a61-885f-8001d28c62e6">226</Author0>
    <Phase xmlns="6c3a28ff-2de4-4a61-885f-8001d28c62e6">01 E1</Phas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76C5EAEAC3F134B999AB5B50A113FED" ma:contentTypeVersion="41" ma:contentTypeDescription="Create a new document." ma:contentTypeScope="" ma:versionID="5f3e539ca5e85ba1b6571a66edd102e7">
  <xsd:schema xmlns:xsd="http://www.w3.org/2001/XMLSchema" xmlns:xs="http://www.w3.org/2001/XMLSchema" xmlns:p="http://schemas.microsoft.com/office/2006/metadata/properties" xmlns:ns2="6c3a28ff-2de4-4a61-885f-8001d28c62e6" xmlns:ns3="4b7a90b3-3cdf-47cf-8886-c3fd16c70273" targetNamespace="http://schemas.microsoft.com/office/2006/metadata/properties" ma:root="true" ma:fieldsID="c66bfeb4320bf2190d1b442d89a8be65" ns2:_="" ns3:_="">
    <xsd:import namespace="6c3a28ff-2de4-4a61-885f-8001d28c62e6"/>
    <xsd:import namespace="4b7a90b3-3cdf-47cf-8886-c3fd16c70273"/>
    <xsd:element name="properties">
      <xsd:complexType>
        <xsd:sequence>
          <xsd:element name="documentManagement">
            <xsd:complexType>
              <xsd:all>
                <xsd:element ref="ns2:Author0"/>
                <xsd:element ref="ns2:Phase"/>
                <xsd:element ref="ns2:Author_x003a_Issue_x0020__x0028_Lookup_x0029_" minOccurs="0"/>
                <xsd:element ref="ns2:Author_x003a_Volume_x0020__x0028_Lookup_x0029_" minOccurs="0"/>
                <xsd:element ref="ns2:Author_x003a_Content_x0020_Office_x0020__x0028_Lookup_x0029_"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a28ff-2de4-4a61-885f-8001d28c62e6" elementFormDefault="qualified">
    <xsd:import namespace="http://schemas.microsoft.com/office/2006/documentManagement/types"/>
    <xsd:import namespace="http://schemas.microsoft.com/office/infopath/2007/PartnerControls"/>
    <xsd:element name="Author0" ma:index="8" ma:displayName="Author" ma:list="{1538153d-bbe6-4ba5-9aaf-3580dd47ff65}" ma:internalName="Author0" ma:readOnly="false" ma:showField="LinkTitleNoMenu">
      <xsd:simpleType>
        <xsd:restriction base="dms:Lookup"/>
      </xsd:simpleType>
    </xsd:element>
    <xsd:element name="Phase" ma:index="9" ma:displayName="Phase" ma:default="00 From Author" ma:format="Dropdown" ma:internalName="Phase" ma:readOnly="false">
      <xsd:simpleType>
        <xsd:restriction base="dms:Choice">
          <xsd:enumeration value="00 From Author"/>
          <xsd:enumeration value="01 E1"/>
          <xsd:enumeration value="02 A1"/>
          <xsd:enumeration value="03 BBCC"/>
          <xsd:enumeration value="04 E2"/>
          <xsd:enumeration value="05 E3"/>
          <xsd:enumeration value="06 A2"/>
          <xsd:enumeration value="07 RP"/>
          <xsd:enumeration value="08 Proofread"/>
          <xsd:enumeration value="09 A3"/>
          <xsd:enumeration value="10 FR"/>
        </xsd:restriction>
      </xsd:simpleType>
    </xsd:element>
    <xsd:element name="Author_x003a_Issue_x0020__x0028_Lookup_x0029_" ma:index="10" nillable="true" ma:displayName="Issue" ma:list="{1538153d-bbe6-4ba5-9aaf-3580dd47ff65}" ma:internalName="Author_x003a_Issue_x0020__x0028_Lookup_x0029_" ma:readOnly="true" ma:showField="Issue_x0020__x0028_Lookup_x0029_" ma:web="4b7a90b3-3cdf-47cf-8886-c3fd16c70273">
      <xsd:simpleType>
        <xsd:restriction base="dms:Lookup"/>
      </xsd:simpleType>
    </xsd:element>
    <xsd:element name="Author_x003a_Volume_x0020__x0028_Lookup_x0029_" ma:index="11" nillable="true" ma:displayName="Volume" ma:list="{1538153d-bbe6-4ba5-9aaf-3580dd47ff65}" ma:internalName="Author_x003a_Volume_x0020__x0028_Lookup_x0029_" ma:readOnly="true" ma:showField="Volume_x0020__x0028_Lookup_x0029" ma:web="4b7a90b3-3cdf-47cf-8886-c3fd16c70273">
      <xsd:simpleType>
        <xsd:restriction base="dms:Lookup"/>
      </xsd:simpleType>
    </xsd:element>
    <xsd:element name="Author_x003a_Content_x0020_Office_x0020__x0028_Lookup_x0029_" ma:index="12" nillable="true" ma:displayName="Content Office" ma:list="{1538153d-bbe6-4ba5-9aaf-3580dd47ff65}" ma:internalName="Author_x003a_Content_x0020_Office_x0020__x0028_Lookup_x0029_" ma:readOnly="true" ma:showField="Content_x0020_Office_x0020__x002" ma:web="4b7a90b3-3cdf-47cf-8886-c3fd16c70273">
      <xsd:simpleType>
        <xsd:restriction base="dms:Lookup"/>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a90b3-3cdf-47cf-8886-c3fd16c7027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80DB4-F737-45DB-89E9-F1E483B2FE8B}">
  <ds:schemaRefs>
    <ds:schemaRef ds:uri="http://schemas.microsoft.com/sharepoint/events"/>
  </ds:schemaRefs>
</ds:datastoreItem>
</file>

<file path=customXml/itemProps2.xml><?xml version="1.0" encoding="utf-8"?>
<ds:datastoreItem xmlns:ds="http://schemas.openxmlformats.org/officeDocument/2006/customXml" ds:itemID="{8238259C-9C75-43BF-BDB0-AF1951FC5C3E}">
  <ds:schemaRefs>
    <ds:schemaRef ds:uri="http://schemas.microsoft.com/sharepoint/v3/contenttype/forms"/>
  </ds:schemaRefs>
</ds:datastoreItem>
</file>

<file path=customXml/itemProps3.xml><?xml version="1.0" encoding="utf-8"?>
<ds:datastoreItem xmlns:ds="http://schemas.openxmlformats.org/officeDocument/2006/customXml" ds:itemID="{4B8DAC4A-4C85-42D0-9C8C-C90B84F9E524}">
  <ds:schemaRefs>
    <ds:schemaRef ds:uri="http://schemas.microsoft.com/office/2006/metadata/properties"/>
    <ds:schemaRef ds:uri="http://schemas.microsoft.com/office/infopath/2007/PartnerControls"/>
    <ds:schemaRef ds:uri="4b7a90b3-3cdf-47cf-8886-c3fd16c70273"/>
    <ds:schemaRef ds:uri="6c3a28ff-2de4-4a61-885f-8001d28c62e6"/>
  </ds:schemaRefs>
</ds:datastoreItem>
</file>

<file path=customXml/itemProps4.xml><?xml version="1.0" encoding="utf-8"?>
<ds:datastoreItem xmlns:ds="http://schemas.openxmlformats.org/officeDocument/2006/customXml" ds:itemID="{4E5FA018-3BA4-CE48-BB73-2A95F540B0C4}">
  <ds:schemaRefs>
    <ds:schemaRef ds:uri="http://schemas.openxmlformats.org/officeDocument/2006/bibliography"/>
  </ds:schemaRefs>
</ds:datastoreItem>
</file>

<file path=customXml/itemProps5.xml><?xml version="1.0" encoding="utf-8"?>
<ds:datastoreItem xmlns:ds="http://schemas.openxmlformats.org/officeDocument/2006/customXml" ds:itemID="{BD3F56B6-3E0B-459D-8923-F5EEA09F7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a28ff-2de4-4a61-885f-8001d28c62e6"/>
    <ds:schemaRef ds:uri="4b7a90b3-3cdf-47cf-8886-c3fd16c70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9630</Words>
  <Characters>54894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Jean Gottfried</dc:creator>
  <cp:keywords/>
  <dc:description/>
  <cp:lastModifiedBy>Hamza, Ali</cp:lastModifiedBy>
  <cp:revision>12</cp:revision>
  <cp:lastPrinted>2025-02-28T15:48:00Z</cp:lastPrinted>
  <dcterms:created xsi:type="dcterms:W3CDTF">2025-02-26T07:02:00Z</dcterms:created>
  <dcterms:modified xsi:type="dcterms:W3CDTF">2025-03-03T20:15:00Z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0x010100C76C5EAEAC3F134B999AB5B50A113FED</vt:lpwstr>
  </property>
</Properties>
</file>