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F0CA" w14:textId="77E9AB7D" w:rsidR="00F70B74" w:rsidRPr="006A612F" w:rsidRDefault="00F70B74" w:rsidP="00AA6ED0">
      <w:pPr>
        <w:pStyle w:val="Head1-Articles"/>
        <w:spacing w:line="240" w:lineRule="auto"/>
      </w:pPr>
      <w:r w:rsidRPr="006A612F">
        <w:t xml:space="preserve">Unidentified Police </w:t>
      </w:r>
      <w:r w:rsidR="003D3EBB" w:rsidRPr="006A612F">
        <w:t>Officials</w:t>
      </w:r>
    </w:p>
    <w:p w14:paraId="52E22EDA" w14:textId="5F54A54F" w:rsidR="00F70B74" w:rsidRPr="006A612F" w:rsidRDefault="00F70B74" w:rsidP="00AA6ED0">
      <w:pPr>
        <w:pStyle w:val="AuthorName1-Articles"/>
        <w:spacing w:line="240" w:lineRule="auto"/>
        <w:rPr>
          <w:vertAlign w:val="superscript"/>
        </w:rPr>
      </w:pPr>
      <w:r w:rsidRPr="006A612F">
        <w:t>Ter</w:t>
      </w:r>
      <w:r w:rsidR="00AA0815" w:rsidRPr="006A612F">
        <w:t>essa</w:t>
      </w:r>
      <w:r w:rsidRPr="006A612F">
        <w:t xml:space="preserve"> Ravenell</w:t>
      </w:r>
      <w:r w:rsidRPr="006A612F">
        <w:rPr>
          <w:vertAlign w:val="superscript"/>
        </w:rPr>
        <w:footnoteReference w:customMarkFollows="1" w:id="2"/>
        <w:t>*</w:t>
      </w:r>
    </w:p>
    <w:p w14:paraId="1FB624DD" w14:textId="7D7CEA7A" w:rsidR="00F70B74" w:rsidRPr="006A612F" w:rsidRDefault="00F70B74" w:rsidP="00AA6ED0">
      <w:pPr>
        <w:pStyle w:val="Abstract"/>
        <w:spacing w:line="240" w:lineRule="auto"/>
        <w:rPr>
          <w:shd w:val="clear" w:color="auto" w:fill="FFFFFF"/>
        </w:rPr>
      </w:pPr>
      <w:r w:rsidRPr="006A612F">
        <w:rPr>
          <w:shd w:val="clear" w:color="auto" w:fill="FFFFFF"/>
        </w:rPr>
        <w:t>United States police officers arrest more than ten million people each year. All of these arrests involve some level of force, and many of them involve multiple officers. Victims of excessive force may bring a §</w:t>
      </w:r>
      <w:r w:rsidR="009E495C" w:rsidRPr="006A612F">
        <w:rPr>
          <w:shd w:val="clear" w:color="auto" w:fill="FFFFFF"/>
        </w:rPr>
        <w:t> </w:t>
      </w:r>
      <w:r w:rsidRPr="006A612F">
        <w:rPr>
          <w:shd w:val="clear" w:color="auto" w:fill="FFFFFF"/>
        </w:rPr>
        <w:t>1983 civil rights claim against all of the officers who were present, but too often plaintiffs with meritorious cases lose because they cannot prove causation.</w:t>
      </w:r>
      <w:r w:rsidR="006A559C" w:rsidRPr="006A612F">
        <w:rPr>
          <w:shd w:val="clear" w:color="auto" w:fill="FFFFFF"/>
        </w:rPr>
        <w:t xml:space="preserve"> </w:t>
      </w:r>
      <w:r w:rsidRPr="006A612F">
        <w:rPr>
          <w:shd w:val="clear" w:color="auto" w:fill="FFFFFF"/>
        </w:rPr>
        <w:t xml:space="preserve">It is not enough to show that </w:t>
      </w:r>
      <w:r w:rsidR="00BF278E" w:rsidRPr="006A612F">
        <w:rPr>
          <w:shd w:val="clear" w:color="auto" w:fill="FFFFFF"/>
        </w:rPr>
        <w:t>“</w:t>
      </w:r>
      <w:r w:rsidRPr="006A612F">
        <w:rPr>
          <w:shd w:val="clear" w:color="auto" w:fill="FFFFFF"/>
        </w:rPr>
        <w:t>the police</w:t>
      </w:r>
      <w:r w:rsidR="00BF278E" w:rsidRPr="006A612F">
        <w:rPr>
          <w:shd w:val="clear" w:color="auto" w:fill="FFFFFF"/>
        </w:rPr>
        <w:t>”</w:t>
      </w:r>
      <w:r w:rsidRPr="006A612F">
        <w:rPr>
          <w:shd w:val="clear" w:color="auto" w:fill="FFFFFF"/>
        </w:rPr>
        <w:t xml:space="preserve"> violated the </w:t>
      </w:r>
      <w:r w:rsidR="008660D9" w:rsidRPr="006A612F">
        <w:rPr>
          <w:shd w:val="clear" w:color="auto" w:fill="FFFFFF"/>
        </w:rPr>
        <w:t>C</w:t>
      </w:r>
      <w:r w:rsidRPr="006A612F">
        <w:rPr>
          <w:shd w:val="clear" w:color="auto" w:fill="FFFFFF"/>
        </w:rPr>
        <w:t>onstitution; rather, to prevail against a defendant</w:t>
      </w:r>
      <w:r w:rsidR="003D432E" w:rsidRPr="006A612F">
        <w:rPr>
          <w:shd w:val="clear" w:color="auto" w:fill="FFFFFF"/>
        </w:rPr>
        <w:t>,</w:t>
      </w:r>
      <w:r w:rsidRPr="006A612F">
        <w:rPr>
          <w:shd w:val="clear" w:color="auto" w:fill="FFFFFF"/>
        </w:rPr>
        <w:t xml:space="preserve"> a §</w:t>
      </w:r>
      <w:r w:rsidR="009E495C" w:rsidRPr="006A612F">
        <w:rPr>
          <w:shd w:val="clear" w:color="auto" w:fill="FFFFFF"/>
        </w:rPr>
        <w:t> </w:t>
      </w:r>
      <w:r w:rsidRPr="006A612F">
        <w:rPr>
          <w:shd w:val="clear" w:color="auto" w:fill="FFFFFF"/>
        </w:rPr>
        <w:t xml:space="preserve">1983 plaintiff must show how </w:t>
      </w:r>
      <w:r w:rsidRPr="006A612F">
        <w:rPr>
          <w:iCs/>
          <w:shd w:val="clear" w:color="auto" w:fill="FFFFFF"/>
        </w:rPr>
        <w:t>that</w:t>
      </w:r>
      <w:r w:rsidRPr="006A612F">
        <w:rPr>
          <w:shd w:val="clear" w:color="auto" w:fill="FFFFFF"/>
        </w:rPr>
        <w:t xml:space="preserve"> specific defendant </w:t>
      </w:r>
      <w:r w:rsidR="00BF278E" w:rsidRPr="006A612F">
        <w:rPr>
          <w:shd w:val="clear" w:color="auto" w:fill="FFFFFF"/>
        </w:rPr>
        <w:t>“</w:t>
      </w:r>
      <w:r w:rsidRPr="006A612F">
        <w:rPr>
          <w:shd w:val="clear" w:color="auto" w:fill="FFFFFF"/>
        </w:rPr>
        <w:t>subjected or caused the plaintiff to be subjected</w:t>
      </w:r>
      <w:r w:rsidR="00BF278E" w:rsidRPr="006A612F">
        <w:rPr>
          <w:shd w:val="clear" w:color="auto" w:fill="FFFFFF"/>
        </w:rPr>
        <w:t>”</w:t>
      </w:r>
      <w:r w:rsidRPr="006A612F">
        <w:rPr>
          <w:shd w:val="clear" w:color="auto" w:fill="FFFFFF"/>
        </w:rPr>
        <w:t xml:space="preserve"> to the deprivation of a constitutional right.</w:t>
      </w:r>
      <w:r w:rsidR="006A559C" w:rsidRPr="006A612F">
        <w:rPr>
          <w:shd w:val="clear" w:color="auto" w:fill="FFFFFF"/>
        </w:rPr>
        <w:t xml:space="preserve"> </w:t>
      </w:r>
      <w:r w:rsidRPr="006A612F">
        <w:rPr>
          <w:shd w:val="clear" w:color="auto" w:fill="FFFFFF"/>
        </w:rPr>
        <w:t xml:space="preserve">Unfortunately, plaintiffs often are not positioned to know what happened, and police officials have strong incentives to stay silent. Not only do police norms, like the </w:t>
      </w:r>
      <w:r w:rsidR="00BF278E" w:rsidRPr="006A612F">
        <w:rPr>
          <w:shd w:val="clear" w:color="auto" w:fill="FFFFFF"/>
        </w:rPr>
        <w:t>“</w:t>
      </w:r>
      <w:r w:rsidRPr="006A612F">
        <w:rPr>
          <w:shd w:val="clear" w:color="auto" w:fill="FFFFFF"/>
        </w:rPr>
        <w:t>blue wall of silence</w:t>
      </w:r>
      <w:r w:rsidR="003D432E" w:rsidRPr="006A612F">
        <w:rPr>
          <w:shd w:val="clear" w:color="auto" w:fill="FFFFFF"/>
        </w:rPr>
        <w:t>,</w:t>
      </w:r>
      <w:r w:rsidR="00BF278E" w:rsidRPr="006A612F">
        <w:rPr>
          <w:shd w:val="clear" w:color="auto" w:fill="FFFFFF"/>
        </w:rPr>
        <w:t>”</w:t>
      </w:r>
      <w:r w:rsidRPr="006A612F">
        <w:rPr>
          <w:shd w:val="clear" w:color="auto" w:fill="FFFFFF"/>
        </w:rPr>
        <w:t xml:space="preserve"> prevent police officials from </w:t>
      </w:r>
      <w:r w:rsidR="00BF278E" w:rsidRPr="006A612F">
        <w:rPr>
          <w:shd w:val="clear" w:color="auto" w:fill="FFFFFF"/>
        </w:rPr>
        <w:t>“</w:t>
      </w:r>
      <w:r w:rsidRPr="006A612F">
        <w:rPr>
          <w:shd w:val="clear" w:color="auto" w:fill="FFFFFF"/>
        </w:rPr>
        <w:t>ratting out</w:t>
      </w:r>
      <w:r w:rsidR="00BF278E" w:rsidRPr="006A612F">
        <w:rPr>
          <w:shd w:val="clear" w:color="auto" w:fill="FFFFFF"/>
        </w:rPr>
        <w:t>”</w:t>
      </w:r>
      <w:r w:rsidRPr="006A612F">
        <w:rPr>
          <w:shd w:val="clear" w:color="auto" w:fill="FFFFFF"/>
        </w:rPr>
        <w:t xml:space="preserve"> their fellow officers, but §</w:t>
      </w:r>
      <w:r w:rsidR="00693654" w:rsidRPr="006A612F">
        <w:rPr>
          <w:shd w:val="clear" w:color="auto" w:fill="FFFFFF"/>
        </w:rPr>
        <w:t> </w:t>
      </w:r>
      <w:r w:rsidRPr="006A612F">
        <w:rPr>
          <w:shd w:val="clear" w:color="auto" w:fill="FFFFFF"/>
        </w:rPr>
        <w:t>1983 jurisprudence incentivizes silence</w:t>
      </w:r>
      <w:r w:rsidR="00E534AB" w:rsidRPr="006A612F">
        <w:rPr>
          <w:shd w:val="clear" w:color="auto" w:fill="FFFFFF"/>
        </w:rPr>
        <w:t>—</w:t>
      </w:r>
      <w:r w:rsidRPr="006A612F">
        <w:rPr>
          <w:shd w:val="clear" w:color="auto" w:fill="FFFFFF"/>
        </w:rPr>
        <w:t>if all officers stay silent, they can all avoid liability.</w:t>
      </w:r>
      <w:r w:rsidR="006A559C" w:rsidRPr="006A612F">
        <w:rPr>
          <w:shd w:val="clear" w:color="auto" w:fill="FFFFFF"/>
        </w:rPr>
        <w:t xml:space="preserve"> </w:t>
      </w:r>
    </w:p>
    <w:p w14:paraId="29B0F81F" w14:textId="43E8D573" w:rsidR="00F70B74" w:rsidRPr="006A612F" w:rsidRDefault="00F70B74" w:rsidP="00AA6ED0">
      <w:pPr>
        <w:pStyle w:val="Abstract"/>
        <w:spacing w:line="240" w:lineRule="auto"/>
        <w:rPr>
          <w:shd w:val="clear" w:color="auto" w:fill="FFFFFF"/>
        </w:rPr>
      </w:pPr>
      <w:r w:rsidRPr="006A612F">
        <w:rPr>
          <w:shd w:val="clear" w:color="auto" w:fill="FFFFFF"/>
        </w:rPr>
        <w:t>Since George Floyd</w:t>
      </w:r>
      <w:r w:rsidR="00BF278E" w:rsidRPr="006A612F">
        <w:rPr>
          <w:shd w:val="clear" w:color="auto" w:fill="FFFFFF"/>
        </w:rPr>
        <w:t>’</w:t>
      </w:r>
      <w:r w:rsidRPr="006A612F">
        <w:rPr>
          <w:shd w:val="clear" w:color="auto" w:fill="FFFFFF"/>
        </w:rPr>
        <w:t>s killing and the arrest and injury of hundreds of protestors, legal scholars and legislators have offered sweeping proposals to make police more accountable for their misconduct.</w:t>
      </w:r>
      <w:r w:rsidR="006A559C" w:rsidRPr="006A612F">
        <w:rPr>
          <w:shd w:val="clear" w:color="auto" w:fill="FFFFFF"/>
        </w:rPr>
        <w:t xml:space="preserve"> </w:t>
      </w:r>
      <w:r w:rsidRPr="006A612F">
        <w:rPr>
          <w:shd w:val="clear" w:color="auto" w:fill="FFFFFF"/>
        </w:rPr>
        <w:t xml:space="preserve">Yet, they have overlooked the subtle solution that tort law theories of </w:t>
      </w:r>
      <w:r w:rsidRPr="006A612F">
        <w:rPr>
          <w:iCs/>
          <w:shd w:val="clear" w:color="auto" w:fill="FFFFFF"/>
        </w:rPr>
        <w:t>res ipsa loquitur</w:t>
      </w:r>
      <w:r w:rsidRPr="006A612F">
        <w:rPr>
          <w:shd w:val="clear" w:color="auto" w:fill="FFFFFF"/>
        </w:rPr>
        <w:t xml:space="preserve"> and joint liability offer and </w:t>
      </w:r>
      <w:r w:rsidR="00E45FA5" w:rsidRPr="006A612F">
        <w:rPr>
          <w:shd w:val="clear" w:color="auto" w:fill="FFFFFF"/>
        </w:rPr>
        <w:t>that</w:t>
      </w:r>
      <w:r w:rsidRPr="006A612F">
        <w:rPr>
          <w:shd w:val="clear" w:color="auto" w:fill="FFFFFF"/>
        </w:rPr>
        <w:t xml:space="preserve"> this Article advances.</w:t>
      </w:r>
      <w:r w:rsidR="006A559C" w:rsidRPr="006A612F">
        <w:rPr>
          <w:shd w:val="clear" w:color="auto" w:fill="FFFFFF"/>
        </w:rPr>
        <w:t xml:space="preserve"> </w:t>
      </w:r>
      <w:r w:rsidRPr="006A612F">
        <w:rPr>
          <w:shd w:val="clear" w:color="auto" w:fill="FFFFFF"/>
        </w:rPr>
        <w:t xml:space="preserve">This </w:t>
      </w:r>
      <w:r w:rsidR="0024033B" w:rsidRPr="006A612F">
        <w:rPr>
          <w:shd w:val="clear" w:color="auto" w:fill="FFFFFF"/>
        </w:rPr>
        <w:t>A</w:t>
      </w:r>
      <w:r w:rsidRPr="006A612F">
        <w:rPr>
          <w:shd w:val="clear" w:color="auto" w:fill="FFFFFF"/>
        </w:rPr>
        <w:t xml:space="preserve">rticle counteracts the incentives toward police silence by proposing a </w:t>
      </w:r>
      <w:r w:rsidRPr="006A612F">
        <w:rPr>
          <w:i w:val="0"/>
          <w:shd w:val="clear" w:color="auto" w:fill="FFFFFF"/>
        </w:rPr>
        <w:t>causa per se</w:t>
      </w:r>
      <w:r w:rsidRPr="006A612F">
        <w:rPr>
          <w:iCs/>
          <w:shd w:val="clear" w:color="auto" w:fill="FFFFFF"/>
        </w:rPr>
        <w:t xml:space="preserve"> theory</w:t>
      </w:r>
      <w:r w:rsidRPr="006A612F">
        <w:rPr>
          <w:shd w:val="clear" w:color="auto" w:fill="FFFFFF"/>
        </w:rPr>
        <w:t xml:space="preserve"> of liability in § 1983 cases against police officials: when a §</w:t>
      </w:r>
      <w:r w:rsidR="00315997" w:rsidRPr="006A612F">
        <w:rPr>
          <w:shd w:val="clear" w:color="auto" w:fill="FFFFFF"/>
        </w:rPr>
        <w:t> </w:t>
      </w:r>
      <w:r w:rsidRPr="006A612F">
        <w:rPr>
          <w:shd w:val="clear" w:color="auto" w:fill="FFFFFF"/>
        </w:rPr>
        <w:t xml:space="preserve">1983 plaintiff offers evidence of a constitutional violation and </w:t>
      </w:r>
      <w:r w:rsidR="00E45FA5" w:rsidRPr="006A612F">
        <w:rPr>
          <w:shd w:val="clear" w:color="auto" w:fill="FFFFFF"/>
        </w:rPr>
        <w:t xml:space="preserve">evidence </w:t>
      </w:r>
      <w:r w:rsidRPr="006A612F">
        <w:rPr>
          <w:shd w:val="clear" w:color="auto" w:fill="FFFFFF"/>
        </w:rPr>
        <w:t>that an officer was present for the violation, the burden of production shifts to the defendants to exculpate themselves.</w:t>
      </w:r>
      <w:r w:rsidR="006A559C" w:rsidRPr="006A612F">
        <w:rPr>
          <w:shd w:val="clear" w:color="auto" w:fill="FFFFFF"/>
        </w:rPr>
        <w:t xml:space="preserve"> </w:t>
      </w:r>
      <w:r w:rsidRPr="006A612F">
        <w:rPr>
          <w:shd w:val="clear" w:color="auto" w:fill="FFFFFF"/>
        </w:rPr>
        <w:t>If the officers cannot or do not explain what happened, they may be jointly liable for the plaintiff</w:t>
      </w:r>
      <w:r w:rsidR="00BF278E" w:rsidRPr="006A612F">
        <w:rPr>
          <w:shd w:val="clear" w:color="auto" w:fill="FFFFFF"/>
        </w:rPr>
        <w:t>’</w:t>
      </w:r>
      <w:r w:rsidRPr="006A612F">
        <w:rPr>
          <w:shd w:val="clear" w:color="auto" w:fill="FFFFFF"/>
        </w:rPr>
        <w:t>s injury.</w:t>
      </w:r>
      <w:r w:rsidR="006A559C" w:rsidRPr="006A612F">
        <w:rPr>
          <w:shd w:val="clear" w:color="auto" w:fill="FFFFFF"/>
        </w:rPr>
        <w:t xml:space="preserve"> </w:t>
      </w:r>
      <w:r w:rsidRPr="006A612F">
        <w:rPr>
          <w:shd w:val="clear" w:color="auto" w:fill="FFFFFF"/>
        </w:rPr>
        <w:t>By redistributing burdens of production in § 1983 causation disputes, courts can expose police misconduct, increase police accountability, and increase the likelihood plaintiffs will be compensated for their injuries.</w:t>
      </w:r>
    </w:p>
    <w:p w14:paraId="703A4130" w14:textId="77777777" w:rsidR="00F70B74" w:rsidRPr="006A612F" w:rsidRDefault="00F70B74" w:rsidP="00AA6ED0">
      <w:pPr>
        <w:pStyle w:val="SubHead1"/>
        <w:spacing w:line="240" w:lineRule="auto"/>
      </w:pPr>
      <w:r w:rsidRPr="006A612F">
        <w:br w:type="page"/>
      </w:r>
      <w:r w:rsidRPr="006A612F">
        <w:lastRenderedPageBreak/>
        <w:t>Introduction</w:t>
      </w:r>
    </w:p>
    <w:p w14:paraId="05E3D217" w14:textId="4FB5CAC2" w:rsidR="00F70B74" w:rsidRPr="006A612F" w:rsidRDefault="00F70B74" w:rsidP="00AA6ED0">
      <w:pPr>
        <w:pStyle w:val="Document"/>
        <w:spacing w:line="240" w:lineRule="auto"/>
      </w:pPr>
      <w:r w:rsidRPr="006A612F">
        <w:t>Police use force.</w:t>
      </w:r>
      <w:r w:rsidR="006A559C" w:rsidRPr="006A612F">
        <w:t xml:space="preserve"> </w:t>
      </w:r>
      <w:r w:rsidRPr="006A612F">
        <w:t xml:space="preserve">Police and civil plaintiffs frequently dispute whether the force </w:t>
      </w:r>
      <w:r w:rsidR="00E45FA5" w:rsidRPr="006A612F">
        <w:t xml:space="preserve">used </w:t>
      </w:r>
      <w:r w:rsidRPr="006A612F">
        <w:t>was excessive. When a court finds the force was reasonable</w:t>
      </w:r>
      <w:r w:rsidR="0016321F" w:rsidRPr="006A612F">
        <w:t>,</w:t>
      </w:r>
      <w:r w:rsidRPr="006A612F">
        <w:t xml:space="preserve"> plaintiffs will lose their § 1983 excessive force claims.</w:t>
      </w:r>
      <w:r w:rsidR="006A559C" w:rsidRPr="006A612F">
        <w:t xml:space="preserve"> </w:t>
      </w:r>
      <w:r w:rsidRPr="006A612F">
        <w:t>This is not surprising.</w:t>
      </w:r>
      <w:r w:rsidRPr="006A612F">
        <w:rPr>
          <w:rStyle w:val="NoterefInText"/>
        </w:rPr>
        <w:footnoteReference w:id="3"/>
      </w:r>
      <w:r w:rsidR="006A559C" w:rsidRPr="006A612F">
        <w:t xml:space="preserve">  </w:t>
      </w:r>
      <w:r w:rsidRPr="006A612F">
        <w:t xml:space="preserve">What is surprising is that even when the defendants do not dispute </w:t>
      </w:r>
      <w:r w:rsidR="006C169D" w:rsidRPr="006A612F">
        <w:t xml:space="preserve">that </w:t>
      </w:r>
      <w:r w:rsidRPr="006A612F">
        <w:t>the police used excessive force</w:t>
      </w:r>
      <w:r w:rsidR="00226480" w:rsidRPr="006A612F">
        <w:t>,</w:t>
      </w:r>
      <w:r w:rsidRPr="006A612F">
        <w:t xml:space="preserve"> § 1983 plaintiffs may still lose their Fourth Amendment claims.</w:t>
      </w:r>
      <w:r w:rsidR="006A559C" w:rsidRPr="006A612F">
        <w:t xml:space="preserve"> </w:t>
      </w:r>
      <w:r w:rsidRPr="006A612F">
        <w:t>Imagine the following:</w:t>
      </w:r>
    </w:p>
    <w:p w14:paraId="0FFF7561" w14:textId="5551B092" w:rsidR="00F70B74" w:rsidRPr="006A612F" w:rsidRDefault="00F70B74" w:rsidP="00AA6ED0">
      <w:pPr>
        <w:pStyle w:val="1StQuoteTXT"/>
        <w:spacing w:line="240" w:lineRule="auto"/>
        <w:rPr>
          <w:i/>
          <w:iCs/>
          <w:szCs w:val="22"/>
        </w:rPr>
      </w:pPr>
      <w:r w:rsidRPr="006A612F">
        <w:rPr>
          <w:i/>
          <w:iCs/>
        </w:rPr>
        <w:t>Four police officers arrive to arrest you.</w:t>
      </w:r>
      <w:r w:rsidR="006A559C" w:rsidRPr="006A612F">
        <w:rPr>
          <w:i/>
          <w:iCs/>
        </w:rPr>
        <w:t xml:space="preserve"> </w:t>
      </w:r>
      <w:r w:rsidRPr="006A612F">
        <w:rPr>
          <w:i/>
          <w:iCs/>
        </w:rPr>
        <w:t>They are not wearing body cameras, and no one is around to record the interaction.</w:t>
      </w:r>
      <w:r w:rsidR="006A559C" w:rsidRPr="006A612F">
        <w:rPr>
          <w:i/>
          <w:iCs/>
        </w:rPr>
        <w:t xml:space="preserve"> </w:t>
      </w:r>
      <w:r w:rsidRPr="006A612F">
        <w:rPr>
          <w:i/>
          <w:iCs/>
        </w:rPr>
        <w:t>You are pinned on the ground, and one of the officers kicks you in the face, causing severe injury. With your face to the floor you, obviously, have no idea which one kicked you. So, you bring a § 1983 action against all of them. No one disputes that you were kicked and injured. But no one admits to kicking you</w:t>
      </w:r>
      <w:r w:rsidR="00226480" w:rsidRPr="006A612F">
        <w:rPr>
          <w:i/>
          <w:iCs/>
        </w:rPr>
        <w:t>,</w:t>
      </w:r>
      <w:r w:rsidRPr="006A612F">
        <w:rPr>
          <w:i/>
          <w:iCs/>
        </w:rPr>
        <w:t xml:space="preserve"> and each o</w:t>
      </w:r>
      <w:r w:rsidR="003D432E" w:rsidRPr="006A612F">
        <w:rPr>
          <w:i/>
          <w:iCs/>
        </w:rPr>
        <w:t>fficer</w:t>
      </w:r>
      <w:r w:rsidRPr="006A612F">
        <w:rPr>
          <w:i/>
          <w:iCs/>
        </w:rPr>
        <w:t xml:space="preserve"> claims they don</w:t>
      </w:r>
      <w:r w:rsidR="00BF278E" w:rsidRPr="006A612F">
        <w:rPr>
          <w:i/>
          <w:iCs/>
        </w:rPr>
        <w:t>’</w:t>
      </w:r>
      <w:r w:rsidRPr="006A612F">
        <w:rPr>
          <w:i/>
          <w:iCs/>
        </w:rPr>
        <w:t>t know what happened.</w:t>
      </w:r>
      <w:r w:rsidR="006A559C" w:rsidRPr="006A612F">
        <w:rPr>
          <w:i/>
          <w:iCs/>
        </w:rPr>
        <w:t xml:space="preserve"> </w:t>
      </w:r>
      <w:r w:rsidRPr="006A612F">
        <w:rPr>
          <w:i/>
          <w:iCs/>
        </w:rPr>
        <w:t>Without their testimony</w:t>
      </w:r>
      <w:r w:rsidR="005F685F" w:rsidRPr="006A612F">
        <w:rPr>
          <w:i/>
          <w:iCs/>
        </w:rPr>
        <w:t>,</w:t>
      </w:r>
      <w:r w:rsidRPr="006A612F">
        <w:rPr>
          <w:i/>
          <w:iCs/>
        </w:rPr>
        <w:t xml:space="preserve"> you cannot prove who </w:t>
      </w:r>
      <w:r w:rsidR="00BF278E" w:rsidRPr="006A612F">
        <w:rPr>
          <w:i/>
          <w:iCs/>
        </w:rPr>
        <w:t>“</w:t>
      </w:r>
      <w:r w:rsidRPr="006A612F">
        <w:rPr>
          <w:i/>
          <w:iCs/>
        </w:rPr>
        <w:t>caused</w:t>
      </w:r>
      <w:r w:rsidR="00BF278E" w:rsidRPr="006A612F">
        <w:rPr>
          <w:i/>
          <w:iCs/>
        </w:rPr>
        <w:t>”</w:t>
      </w:r>
      <w:r w:rsidRPr="006A612F">
        <w:rPr>
          <w:i/>
          <w:iCs/>
        </w:rPr>
        <w:t xml:space="preserve"> the constitutional violation, so you lose your Fourth Amendment claim on summary judgment and don</w:t>
      </w:r>
      <w:r w:rsidR="00BF278E" w:rsidRPr="006A612F">
        <w:rPr>
          <w:i/>
          <w:iCs/>
        </w:rPr>
        <w:t>’</w:t>
      </w:r>
      <w:r w:rsidRPr="006A612F">
        <w:rPr>
          <w:i/>
          <w:iCs/>
        </w:rPr>
        <w:t>t even get to present your case to a jury</w:t>
      </w:r>
      <w:r w:rsidRPr="006A612F">
        <w:rPr>
          <w:i/>
          <w:iCs/>
          <w:shd w:val="clear" w:color="auto" w:fill="FFFFFF"/>
        </w:rPr>
        <w:t>.</w:t>
      </w:r>
      <w:r w:rsidRPr="006A612F">
        <w:rPr>
          <w:rStyle w:val="NoterefInText"/>
        </w:rPr>
        <w:footnoteReference w:id="4"/>
      </w:r>
    </w:p>
    <w:p w14:paraId="5646C67B" w14:textId="20E8E3D9" w:rsidR="00F70B74" w:rsidRPr="006A612F" w:rsidRDefault="00F70B74" w:rsidP="00AA6ED0">
      <w:pPr>
        <w:pStyle w:val="Document"/>
        <w:spacing w:line="240" w:lineRule="auto"/>
      </w:pPr>
      <w:bookmarkStart w:id="0" w:name="_Hlk35805091"/>
      <w:r w:rsidRPr="006A612F">
        <w:t>Your loss is a consequence of §</w:t>
      </w:r>
      <w:r w:rsidR="006C169D" w:rsidRPr="006A612F">
        <w:t> </w:t>
      </w:r>
      <w:r w:rsidRPr="006A612F">
        <w:t>1983</w:t>
      </w:r>
      <w:r w:rsidR="00BF278E" w:rsidRPr="006A612F">
        <w:t>’</w:t>
      </w:r>
      <w:r w:rsidRPr="006A612F">
        <w:t xml:space="preserve">s </w:t>
      </w:r>
      <w:r w:rsidR="00BF278E" w:rsidRPr="006A612F">
        <w:t>“</w:t>
      </w:r>
      <w:r w:rsidRPr="006A612F">
        <w:t>personal responsibility</w:t>
      </w:r>
      <w:r w:rsidR="00BF278E" w:rsidRPr="006A612F">
        <w:t>”</w:t>
      </w:r>
      <w:r w:rsidRPr="006A612F">
        <w:t xml:space="preserve"> requirement.</w:t>
      </w:r>
      <w:r w:rsidR="006A559C" w:rsidRPr="006A612F">
        <w:t xml:space="preserve"> </w:t>
      </w:r>
      <w:r w:rsidRPr="006A612F">
        <w:t xml:space="preserve">Under this rule, a § 1983 plaintiff cannot win by just showing </w:t>
      </w:r>
      <w:r w:rsidR="00BF278E" w:rsidRPr="006A612F">
        <w:t>“</w:t>
      </w:r>
      <w:r w:rsidRPr="006A612F">
        <w:t>the police</w:t>
      </w:r>
      <w:r w:rsidR="00BF278E" w:rsidRPr="006A612F">
        <w:t>”</w:t>
      </w:r>
      <w:r w:rsidRPr="006A612F">
        <w:t xml:space="preserve"> violated the Constitution.</w:t>
      </w:r>
      <w:r w:rsidR="006A559C" w:rsidRPr="006A612F">
        <w:t xml:space="preserve"> </w:t>
      </w:r>
      <w:r w:rsidRPr="006A612F">
        <w:t>To prevail against a defendant in a §</w:t>
      </w:r>
      <w:r w:rsidR="006C169D" w:rsidRPr="006A612F">
        <w:t> </w:t>
      </w:r>
      <w:r w:rsidRPr="006A612F">
        <w:t>1983 action</w:t>
      </w:r>
      <w:r w:rsidR="00B95C3C" w:rsidRPr="006A612F">
        <w:t>,</w:t>
      </w:r>
      <w:r w:rsidRPr="006A612F">
        <w:t xml:space="preserve"> plaintiffs must prove that they were deprived of a constitutional right and that that </w:t>
      </w:r>
      <w:r w:rsidRPr="006A612F">
        <w:rPr>
          <w:i/>
          <w:iCs/>
        </w:rPr>
        <w:t>specific</w:t>
      </w:r>
      <w:r w:rsidRPr="006A612F">
        <w:t xml:space="preserve"> </w:t>
      </w:r>
      <w:r w:rsidRPr="006A612F">
        <w:rPr>
          <w:i/>
          <w:iCs/>
        </w:rPr>
        <w:t>defendant</w:t>
      </w:r>
      <w:r w:rsidRPr="006A612F">
        <w:t xml:space="preserve"> caused the deprivation. </w:t>
      </w:r>
      <w:r w:rsidRPr="006A612F">
        <w:rPr>
          <w:shd w:val="clear" w:color="auto" w:fill="FFFFFF"/>
        </w:rPr>
        <w:t>In the usual §</w:t>
      </w:r>
      <w:r w:rsidR="006C169D" w:rsidRPr="006A612F">
        <w:rPr>
          <w:shd w:val="clear" w:color="auto" w:fill="FFFFFF"/>
        </w:rPr>
        <w:t xml:space="preserve"> </w:t>
      </w:r>
      <w:r w:rsidRPr="006A612F">
        <w:rPr>
          <w:shd w:val="clear" w:color="auto" w:fill="FFFFFF"/>
        </w:rPr>
        <w:t xml:space="preserve">1983 case, the parties dispute whether the conduct amounted to a constitutional violation, and there is no real question that the defendant </w:t>
      </w:r>
      <w:r w:rsidR="00BF278E" w:rsidRPr="006A612F">
        <w:rPr>
          <w:shd w:val="clear" w:color="auto" w:fill="FFFFFF"/>
        </w:rPr>
        <w:t>“</w:t>
      </w:r>
      <w:r w:rsidRPr="006A612F">
        <w:rPr>
          <w:shd w:val="clear" w:color="auto" w:fill="FFFFFF"/>
        </w:rPr>
        <w:t>caused</w:t>
      </w:r>
      <w:r w:rsidR="00BF278E" w:rsidRPr="006A612F">
        <w:rPr>
          <w:shd w:val="clear" w:color="auto" w:fill="FFFFFF"/>
        </w:rPr>
        <w:t>”</w:t>
      </w:r>
      <w:r w:rsidRPr="006A612F">
        <w:rPr>
          <w:shd w:val="clear" w:color="auto" w:fill="FFFFFF"/>
        </w:rPr>
        <w:t xml:space="preserve"> the constitutional deprivation.</w:t>
      </w:r>
      <w:r w:rsidR="006A559C" w:rsidRPr="006A612F">
        <w:rPr>
          <w:shd w:val="clear" w:color="auto" w:fill="FFFFFF"/>
        </w:rPr>
        <w:t xml:space="preserve"> </w:t>
      </w:r>
      <w:r w:rsidRPr="006A612F">
        <w:rPr>
          <w:shd w:val="clear" w:color="auto" w:fill="FFFFFF"/>
        </w:rPr>
        <w:t xml:space="preserve">But in cases like </w:t>
      </w:r>
      <w:r w:rsidRPr="006A612F">
        <w:rPr>
          <w:i/>
          <w:iCs/>
          <w:shd w:val="clear" w:color="auto" w:fill="FFFFFF"/>
        </w:rPr>
        <w:t>Jutrowski</w:t>
      </w:r>
      <w:r w:rsidR="002C6311" w:rsidRPr="006A612F">
        <w:rPr>
          <w:i/>
          <w:iCs/>
          <w:shd w:val="clear" w:color="auto" w:fill="FFFFFF"/>
        </w:rPr>
        <w:t xml:space="preserve"> v. Township of Riverdale</w:t>
      </w:r>
      <w:r w:rsidRPr="006A612F">
        <w:rPr>
          <w:shd w:val="clear" w:color="auto" w:fill="FFFFFF"/>
        </w:rPr>
        <w:t>,</w:t>
      </w:r>
      <w:r w:rsidR="008E25E2" w:rsidRPr="006A612F">
        <w:rPr>
          <w:rStyle w:val="NoterefInText"/>
        </w:rPr>
        <w:footnoteReference w:id="5"/>
      </w:r>
      <w:r w:rsidRPr="006A612F">
        <w:rPr>
          <w:shd w:val="clear" w:color="auto" w:fill="FFFFFF"/>
        </w:rPr>
        <w:t xml:space="preserve"> the case upon which the hypothetical is based, plaintiffs encounter the opposite problem.</w:t>
      </w:r>
      <w:r w:rsidR="006A559C" w:rsidRPr="006A612F">
        <w:rPr>
          <w:shd w:val="clear" w:color="auto" w:fill="FFFFFF"/>
        </w:rPr>
        <w:t xml:space="preserve"> </w:t>
      </w:r>
      <w:r w:rsidRPr="006A612F">
        <w:rPr>
          <w:shd w:val="clear" w:color="auto" w:fill="FFFFFF"/>
        </w:rPr>
        <w:t>There is no real dispute that there was a constitutional violation.</w:t>
      </w:r>
      <w:r w:rsidR="006A559C" w:rsidRPr="006A612F">
        <w:rPr>
          <w:shd w:val="clear" w:color="auto" w:fill="FFFFFF"/>
        </w:rPr>
        <w:t xml:space="preserve"> </w:t>
      </w:r>
      <w:r w:rsidRPr="006A612F">
        <w:rPr>
          <w:shd w:val="clear" w:color="auto" w:fill="FFFFFF"/>
        </w:rPr>
        <w:t>However, the plaintiff is unable to establish which defendants caused the constitutional violation</w:t>
      </w:r>
      <w:r w:rsidR="005F685F" w:rsidRPr="006A612F">
        <w:rPr>
          <w:shd w:val="clear" w:color="auto" w:fill="FFFFFF"/>
        </w:rPr>
        <w:t>,</w:t>
      </w:r>
      <w:r w:rsidRPr="006A612F">
        <w:rPr>
          <w:shd w:val="clear" w:color="auto" w:fill="FFFFFF"/>
        </w:rPr>
        <w:t xml:space="preserve"> and the dispute centers on the question of causation.</w:t>
      </w:r>
      <w:r w:rsidR="006A559C" w:rsidRPr="006A612F">
        <w:rPr>
          <w:shd w:val="clear" w:color="auto" w:fill="FFFFFF"/>
        </w:rPr>
        <w:t xml:space="preserve"> </w:t>
      </w:r>
      <w:r w:rsidRPr="006A612F">
        <w:t xml:space="preserve">And while courts recognize the </w:t>
      </w:r>
      <w:r w:rsidR="00BF278E" w:rsidRPr="006A612F">
        <w:t>“‘</w:t>
      </w:r>
      <w:r w:rsidRPr="006A612F">
        <w:t>potential tension</w:t>
      </w:r>
      <w:r w:rsidR="00BF278E" w:rsidRPr="006A612F">
        <w:t>’</w:t>
      </w:r>
      <w:r w:rsidRPr="006A612F">
        <w:t xml:space="preserve"> between </w:t>
      </w:r>
      <w:r w:rsidR="00AC198A" w:rsidRPr="006A612F">
        <w:t xml:space="preserve">the individual-responsibility requirement of </w:t>
      </w:r>
      <w:r w:rsidRPr="006A612F">
        <w:t>§</w:t>
      </w:r>
      <w:r w:rsidR="006C169D" w:rsidRPr="006A612F">
        <w:t xml:space="preserve"> </w:t>
      </w:r>
      <w:r w:rsidRPr="006A612F">
        <w:t>1983</w:t>
      </w:r>
      <w:r w:rsidR="00AC198A" w:rsidRPr="006A612F">
        <w:t xml:space="preserve"> </w:t>
      </w:r>
      <w:r w:rsidRPr="006A612F">
        <w:t xml:space="preserve">and </w:t>
      </w:r>
      <w:r w:rsidR="00BF278E" w:rsidRPr="006A612F">
        <w:lastRenderedPageBreak/>
        <w:t>‘</w:t>
      </w:r>
      <w:r w:rsidRPr="006A612F">
        <w:t>factual scenarios</w:t>
      </w:r>
      <w:r w:rsidR="00BF278E" w:rsidRPr="006A612F">
        <w:t>’”</w:t>
      </w:r>
      <w:r w:rsidRPr="006A612F">
        <w:t xml:space="preserve"> of the kind created here</w:t>
      </w:r>
      <w:r w:rsidR="001969A1" w:rsidRPr="006A612F">
        <w:t>,</w:t>
      </w:r>
      <w:r w:rsidRPr="006A612F">
        <w:rPr>
          <w:rStyle w:val="NoterefInText"/>
        </w:rPr>
        <w:footnoteReference w:id="6"/>
      </w:r>
      <w:r w:rsidRPr="006A612F">
        <w:t xml:space="preserve"> they have failed to provide a viable solution.</w:t>
      </w:r>
    </w:p>
    <w:p w14:paraId="74393805" w14:textId="374C0A89" w:rsidR="00F70B74" w:rsidRPr="006A612F" w:rsidRDefault="00F70B74" w:rsidP="00AA6ED0">
      <w:pPr>
        <w:pStyle w:val="Document"/>
        <w:spacing w:line="240" w:lineRule="auto"/>
        <w:rPr>
          <w:shd w:val="clear" w:color="auto" w:fill="FFFFFF"/>
        </w:rPr>
      </w:pPr>
      <w:r w:rsidRPr="006A612F">
        <w:rPr>
          <w:shd w:val="clear" w:color="auto" w:fill="FFFFFF"/>
        </w:rPr>
        <w:t xml:space="preserve">Most circuits hold that officials </w:t>
      </w:r>
      <w:r w:rsidR="00BF278E" w:rsidRPr="006A612F">
        <w:rPr>
          <w:shd w:val="clear" w:color="auto" w:fill="FFFFFF"/>
        </w:rPr>
        <w:t>“</w:t>
      </w:r>
      <w:r w:rsidRPr="006A612F">
        <w:rPr>
          <w:shd w:val="clear" w:color="auto" w:fill="FFFFFF"/>
        </w:rPr>
        <w:t>cause</w:t>
      </w:r>
      <w:r w:rsidR="00BF278E" w:rsidRPr="006A612F">
        <w:rPr>
          <w:shd w:val="clear" w:color="auto" w:fill="FFFFFF"/>
        </w:rPr>
        <w:t>”</w:t>
      </w:r>
      <w:r w:rsidRPr="006A612F">
        <w:rPr>
          <w:shd w:val="clear" w:color="auto" w:fill="FFFFFF"/>
        </w:rPr>
        <w:t xml:space="preserve"> a constitutional deprivation if they fail to intervene, even if they did not actually use excessive force against the plaintiff.</w:t>
      </w:r>
      <w:r w:rsidR="006A559C" w:rsidRPr="006A612F">
        <w:rPr>
          <w:shd w:val="clear" w:color="auto" w:fill="FFFFFF"/>
        </w:rPr>
        <w:t xml:space="preserve"> </w:t>
      </w:r>
      <w:r w:rsidRPr="006A612F">
        <w:rPr>
          <w:shd w:val="clear" w:color="auto" w:fill="FFFFFF"/>
        </w:rPr>
        <w:t>Nevertheless, these same courts require plaintiffs to prove specifically how each defendant caused the injury</w:t>
      </w:r>
      <w:r w:rsidR="006A559C" w:rsidRPr="006A612F">
        <w:rPr>
          <w:shd w:val="clear" w:color="auto" w:fill="FFFFFF"/>
        </w:rPr>
        <w:t>—</w:t>
      </w:r>
      <w:r w:rsidRPr="006A612F">
        <w:rPr>
          <w:shd w:val="clear" w:color="auto" w:fill="FFFFFF"/>
        </w:rPr>
        <w:t>which defendants used force and which defendants failed to intervene.</w:t>
      </w:r>
      <w:r w:rsidR="00BC6FD5" w:rsidRPr="006A612F">
        <w:rPr>
          <w:rStyle w:val="NoterefInText"/>
        </w:rPr>
        <w:footnoteReference w:id="7"/>
      </w:r>
      <w:r w:rsidRPr="006A612F">
        <w:rPr>
          <w:shd w:val="clear" w:color="auto" w:fill="FFFFFF"/>
        </w:rPr>
        <w:t xml:space="preserve"> </w:t>
      </w:r>
      <w:r w:rsidRPr="006A612F">
        <w:t xml:space="preserve">In situations like this, requiring the § 1983 plaintiff to identify who amongst a group of defendants used excessive force and who observed the use of force has the potential to </w:t>
      </w:r>
      <w:r w:rsidR="00BF278E" w:rsidRPr="006A612F">
        <w:t>“</w:t>
      </w:r>
      <w:r w:rsidRPr="006A612F">
        <w:t>effectively immunize</w:t>
      </w:r>
      <w:r w:rsidR="00BF278E" w:rsidRPr="006A612F">
        <w:t>”</w:t>
      </w:r>
      <w:r w:rsidRPr="006A612F">
        <w:t xml:space="preserve"> defendants from liability.</w:t>
      </w:r>
      <w:r w:rsidRPr="006A612F">
        <w:rPr>
          <w:rStyle w:val="NoterefInText"/>
        </w:rPr>
        <w:footnoteReference w:id="8"/>
      </w:r>
      <w:r w:rsidRPr="006A612F">
        <w:t xml:space="preserve"> </w:t>
      </w:r>
      <w:r w:rsidRPr="006A612F">
        <w:rPr>
          <w:shd w:val="clear" w:color="auto" w:fill="FFFFFF"/>
        </w:rPr>
        <w:t>Too frequently, plaintiffs are not in a position to know this information</w:t>
      </w:r>
      <w:r w:rsidR="008B275B" w:rsidRPr="006A612F">
        <w:rPr>
          <w:shd w:val="clear" w:color="auto" w:fill="FFFFFF"/>
        </w:rPr>
        <w:t>,</w:t>
      </w:r>
      <w:r w:rsidRPr="006A612F">
        <w:rPr>
          <w:shd w:val="clear" w:color="auto" w:fill="FFFFFF"/>
        </w:rPr>
        <w:t xml:space="preserve"> and the </w:t>
      </w:r>
      <w:r w:rsidR="00BF278E" w:rsidRPr="006A612F">
        <w:rPr>
          <w:shd w:val="clear" w:color="auto" w:fill="FFFFFF"/>
        </w:rPr>
        <w:t>“</w:t>
      </w:r>
      <w:r w:rsidRPr="006A612F">
        <w:rPr>
          <w:shd w:val="clear" w:color="auto" w:fill="FFFFFF"/>
        </w:rPr>
        <w:t>blue wall of silence</w:t>
      </w:r>
      <w:r w:rsidR="00BF278E" w:rsidRPr="006A612F">
        <w:rPr>
          <w:shd w:val="clear" w:color="auto" w:fill="FFFFFF"/>
        </w:rPr>
        <w:t>”</w:t>
      </w:r>
      <w:r w:rsidRPr="006A612F">
        <w:rPr>
          <w:shd w:val="clear" w:color="auto" w:fill="FFFFFF"/>
        </w:rPr>
        <w:t xml:space="preserve"> prevents them from learning it.</w:t>
      </w:r>
      <w:r w:rsidR="006A559C" w:rsidRPr="006A612F">
        <w:rPr>
          <w:shd w:val="clear" w:color="auto" w:fill="FFFFFF"/>
        </w:rPr>
        <w:t xml:space="preserve"> </w:t>
      </w:r>
      <w:r w:rsidRPr="006A612F">
        <w:rPr>
          <w:shd w:val="clear" w:color="auto" w:fill="FFFFFF"/>
        </w:rPr>
        <w:t>In short, many plaintiffs have an evidentiary problem</w:t>
      </w:r>
      <w:r w:rsidR="004731E6" w:rsidRPr="006A612F">
        <w:rPr>
          <w:shd w:val="clear" w:color="auto" w:fill="FFFFFF"/>
        </w:rPr>
        <w:t>—</w:t>
      </w:r>
      <w:r w:rsidRPr="006A612F">
        <w:rPr>
          <w:shd w:val="clear" w:color="auto" w:fill="FFFFFF"/>
        </w:rPr>
        <w:t>they know they were injured, they may even know who was present, but they do not know how each defendant contributed to the injury.</w:t>
      </w:r>
    </w:p>
    <w:p w14:paraId="522701C4" w14:textId="097330FD" w:rsidR="00F70B74" w:rsidRPr="006A612F" w:rsidRDefault="00F70B74" w:rsidP="00AA6ED0">
      <w:pPr>
        <w:pStyle w:val="Document"/>
        <w:spacing w:line="240" w:lineRule="auto"/>
        <w:rPr>
          <w:szCs w:val="22"/>
        </w:rPr>
      </w:pPr>
      <w:r w:rsidRPr="006A612F">
        <w:t>Legal scholars who recognize the evidentiary challenges faced by victims of police violence reach for solutions like reforming municipal liability and other broad legal changes.</w:t>
      </w:r>
      <w:r w:rsidRPr="006A612F">
        <w:rPr>
          <w:rStyle w:val="NoterefInText"/>
        </w:rPr>
        <w:footnoteReference w:id="9"/>
      </w:r>
      <w:r w:rsidR="006A559C" w:rsidRPr="006A612F">
        <w:t xml:space="preserve"> </w:t>
      </w:r>
      <w:r w:rsidRPr="006A612F">
        <w:t>Yet, they fail to recognize that the puzzle is as old as a barrel falling out of the window of a flour shop and landing on someone</w:t>
      </w:r>
      <w:r w:rsidR="00BF278E" w:rsidRPr="006A612F">
        <w:t>’</w:t>
      </w:r>
      <w:r w:rsidRPr="006A612F">
        <w:t>s head.</w:t>
      </w:r>
      <w:r w:rsidR="0032293B" w:rsidRPr="006A612F">
        <w:rPr>
          <w:rStyle w:val="NoterefInText"/>
        </w:rPr>
        <w:footnoteReference w:id="10"/>
      </w:r>
    </w:p>
    <w:p w14:paraId="3D7B900C" w14:textId="73548909" w:rsidR="00F70B74" w:rsidRPr="006A612F" w:rsidRDefault="00F70B74" w:rsidP="00AA6ED0">
      <w:pPr>
        <w:pStyle w:val="Document"/>
        <w:spacing w:line="240" w:lineRule="auto"/>
      </w:pPr>
      <w:r w:rsidRPr="006A612F">
        <w:rPr>
          <w:shd w:val="clear" w:color="auto" w:fill="FFFFFF"/>
        </w:rPr>
        <w:t xml:space="preserve">This Article borrows from </w:t>
      </w:r>
      <w:r w:rsidRPr="006A612F">
        <w:t xml:space="preserve">tort theories of res ipsa loquitur and joint and several liability to offer a straightforward solution: a theory of </w:t>
      </w:r>
      <w:r w:rsidRPr="006A612F">
        <w:rPr>
          <w:i/>
          <w:iCs/>
        </w:rPr>
        <w:t>causa per se</w:t>
      </w:r>
      <w:r w:rsidRPr="006A612F">
        <w:t xml:space="preserve">, a Latin phrase that roughly translates to </w:t>
      </w:r>
      <w:r w:rsidR="00BF278E" w:rsidRPr="006A612F">
        <w:t>“</w:t>
      </w:r>
      <w:r w:rsidRPr="006A612F">
        <w:t>causation in itself.</w:t>
      </w:r>
      <w:r w:rsidR="00BF278E" w:rsidRPr="006A612F">
        <w:t>”</w:t>
      </w:r>
      <w:r w:rsidR="006A559C" w:rsidRPr="006A612F">
        <w:t xml:space="preserve"> </w:t>
      </w:r>
      <w:r w:rsidRPr="006A612F">
        <w:t>Under this theory, when § 1983 plaintiffs present evidence of excessive force and that the defendant was present at the scene</w:t>
      </w:r>
      <w:r w:rsidR="00DF622C" w:rsidRPr="006A612F">
        <w:t>,</w:t>
      </w:r>
      <w:r w:rsidRPr="006A612F">
        <w:t xml:space="preserve"> courts should infer causation from the plaintiff</w:t>
      </w:r>
      <w:r w:rsidR="00BF278E" w:rsidRPr="006A612F">
        <w:t>’</w:t>
      </w:r>
      <w:r w:rsidRPr="006A612F">
        <w:t>s circumstantial evidence and shift the burden to defendants to explain what happened.</w:t>
      </w:r>
      <w:r w:rsidR="006A559C" w:rsidRPr="006A612F">
        <w:t xml:space="preserve"> </w:t>
      </w:r>
      <w:r w:rsidRPr="006A612F">
        <w:t xml:space="preserve">Combining theories of res ipsa loquitur and joint </w:t>
      </w:r>
      <w:r w:rsidRPr="006A612F">
        <w:lastRenderedPageBreak/>
        <w:t>liability in this way creates a powerful incentive for defendants to come forward with information about causation.</w:t>
      </w:r>
      <w:r w:rsidRPr="006A612F">
        <w:rPr>
          <w:rStyle w:val="NoterefInText"/>
        </w:rPr>
        <w:footnoteReference w:id="11"/>
      </w:r>
      <w:r w:rsidR="006A559C" w:rsidRPr="006A612F">
        <w:t xml:space="preserve"> </w:t>
      </w:r>
    </w:p>
    <w:p w14:paraId="48520004" w14:textId="0D99293B" w:rsidR="00F70B74" w:rsidRPr="006A612F" w:rsidRDefault="00F70B74" w:rsidP="00AA6ED0">
      <w:pPr>
        <w:pStyle w:val="Document"/>
        <w:spacing w:line="240" w:lineRule="auto"/>
      </w:pPr>
      <w:r w:rsidRPr="006A612F">
        <w:t xml:space="preserve">To prove this point, this Article pulls from three different legal fields that, in the past, courts and scholars typically have viewed discreetly: </w:t>
      </w:r>
      <w:r w:rsidR="007D214A" w:rsidRPr="006A612F">
        <w:t>c</w:t>
      </w:r>
      <w:r w:rsidRPr="006A612F">
        <w:t xml:space="preserve">ivil </w:t>
      </w:r>
      <w:r w:rsidR="007D214A" w:rsidRPr="006A612F">
        <w:t>p</w:t>
      </w:r>
      <w:r w:rsidRPr="006A612F">
        <w:t xml:space="preserve">rocedure, </w:t>
      </w:r>
      <w:r w:rsidR="007D214A" w:rsidRPr="006A612F">
        <w:t>c</w:t>
      </w:r>
      <w:r w:rsidRPr="006A612F">
        <w:t xml:space="preserve">ivil </w:t>
      </w:r>
      <w:r w:rsidR="007D214A" w:rsidRPr="006A612F">
        <w:t>r</w:t>
      </w:r>
      <w:r w:rsidRPr="006A612F">
        <w:t xml:space="preserve">ights, and </w:t>
      </w:r>
      <w:r w:rsidR="007D214A" w:rsidRPr="006A612F">
        <w:t>t</w:t>
      </w:r>
      <w:r w:rsidRPr="006A612F">
        <w:t>ort law. Part I discusses how the Federal Rules of Civil Procedure</w:t>
      </w:r>
      <w:r w:rsidR="00E45FA5" w:rsidRPr="006A612F">
        <w:t xml:space="preserve"> </w:t>
      </w:r>
      <w:r w:rsidRPr="006A612F">
        <w:t>governing discovery and pleading often combine with the blue wall of silence to insulate police officials from liability.</w:t>
      </w:r>
      <w:r w:rsidRPr="006A612F">
        <w:rPr>
          <w:rStyle w:val="NoterefInText"/>
        </w:rPr>
        <w:footnoteReference w:id="12"/>
      </w:r>
      <w:r w:rsidR="006A559C" w:rsidRPr="006A612F">
        <w:t xml:space="preserve"> </w:t>
      </w:r>
      <w:r w:rsidRPr="006A612F">
        <w:t>Part</w:t>
      </w:r>
      <w:r w:rsidR="00E45FA5" w:rsidRPr="006A612F">
        <w:t> </w:t>
      </w:r>
      <w:r w:rsidRPr="006A612F">
        <w:t>II explains how courts have interpreted §</w:t>
      </w:r>
      <w:r w:rsidR="006C169D" w:rsidRPr="006A612F">
        <w:t> </w:t>
      </w:r>
      <w:r w:rsidRPr="006A612F">
        <w:t>1983</w:t>
      </w:r>
      <w:r w:rsidR="00BF278E" w:rsidRPr="006A612F">
        <w:t>’</w:t>
      </w:r>
      <w:r w:rsidRPr="006A612F">
        <w:t>s causation requirement.</w:t>
      </w:r>
      <w:r w:rsidR="006A559C" w:rsidRPr="006A612F">
        <w:t xml:space="preserve"> </w:t>
      </w:r>
      <w:r w:rsidRPr="006A612F">
        <w:t>Courts recognize that a defendant may cause a constitutional deprivation without directly participating.</w:t>
      </w:r>
      <w:r w:rsidR="006A559C" w:rsidRPr="006A612F">
        <w:t xml:space="preserve"> </w:t>
      </w:r>
      <w:r w:rsidRPr="006A612F">
        <w:t xml:space="preserve">This </w:t>
      </w:r>
      <w:r w:rsidR="005840C2" w:rsidRPr="006A612F">
        <w:t xml:space="preserve">Part </w:t>
      </w:r>
      <w:r w:rsidRPr="006A612F">
        <w:t>considers how courts have dealt with the issue of multiple defendants in §</w:t>
      </w:r>
      <w:r w:rsidR="00A03926" w:rsidRPr="006A612F">
        <w:t> </w:t>
      </w:r>
      <w:r w:rsidRPr="006A612F">
        <w:t>1983 litigation. I conclude that while their solutions may be substantively sound, they do not account for the evidentiary difficulties many plaintiffs are likely to encounter</w:t>
      </w:r>
      <w:r w:rsidR="00E45FA5" w:rsidRPr="006A612F">
        <w:t>, rendering claims largely unwinnable</w:t>
      </w:r>
      <w:r w:rsidRPr="006A612F">
        <w:t>.</w:t>
      </w:r>
      <w:r w:rsidR="006A559C" w:rsidRPr="006A612F">
        <w:t xml:space="preserve"> </w:t>
      </w:r>
      <w:r w:rsidRPr="006A612F">
        <w:t>Part III considers how tort law has addressed evidentiary issues and asymmetrical information when there are multiple tortfeasors involved.</w:t>
      </w:r>
      <w:r w:rsidR="006A559C" w:rsidRPr="006A612F">
        <w:t xml:space="preserve"> </w:t>
      </w:r>
      <w:r w:rsidRPr="006A612F">
        <w:t>Specifically, Part III discusses res ipsa loquitur, joint and several liability, and the principles underlying these theories.</w:t>
      </w:r>
      <w:r w:rsidR="006A559C" w:rsidRPr="006A612F">
        <w:t xml:space="preserve"> </w:t>
      </w:r>
      <w:r w:rsidRPr="006A612F">
        <w:t xml:space="preserve">Part III also argues that these concepts should be adapted and applied to create a </w:t>
      </w:r>
      <w:r w:rsidRPr="006A612F">
        <w:rPr>
          <w:i/>
          <w:iCs/>
        </w:rPr>
        <w:t>causa per se</w:t>
      </w:r>
      <w:r w:rsidRPr="006A612F">
        <w:t xml:space="preserve"> theory in §</w:t>
      </w:r>
      <w:r w:rsidR="00E45FA5" w:rsidRPr="006A612F">
        <w:t> </w:t>
      </w:r>
      <w:r w:rsidRPr="006A612F">
        <w:t>1983 litigation involving multiple police officials.</w:t>
      </w:r>
      <w:r w:rsidRPr="006A612F">
        <w:rPr>
          <w:rStyle w:val="NoterefInText"/>
        </w:rPr>
        <w:footnoteReference w:id="13"/>
      </w:r>
      <w:r w:rsidR="006A559C" w:rsidRPr="006A612F">
        <w:t xml:space="preserve"> </w:t>
      </w:r>
    </w:p>
    <w:p w14:paraId="0CD76343" w14:textId="4D30A8F4" w:rsidR="00F70B74" w:rsidRPr="006A612F" w:rsidRDefault="00166D0D" w:rsidP="00AA6ED0">
      <w:pPr>
        <w:pStyle w:val="SubHead1"/>
        <w:spacing w:line="240" w:lineRule="auto"/>
      </w:pPr>
      <w:r w:rsidRPr="006A612F">
        <w:t>I.</w:t>
      </w:r>
      <w:r w:rsidRPr="006A612F">
        <w:tab/>
      </w:r>
      <w:r w:rsidR="00F70B74" w:rsidRPr="006A612F">
        <w:t>Who Did What?</w:t>
      </w:r>
    </w:p>
    <w:p w14:paraId="3E07B198" w14:textId="7D629204" w:rsidR="00F70B74" w:rsidRPr="006A612F" w:rsidRDefault="00F70B74" w:rsidP="00AA6ED0">
      <w:pPr>
        <w:pStyle w:val="Document"/>
        <w:spacing w:line="240" w:lineRule="auto"/>
        <w:rPr>
          <w:shd w:val="clear" w:color="auto" w:fill="FFFFFF"/>
        </w:rPr>
      </w:pPr>
      <w:r w:rsidRPr="006A612F">
        <w:t xml:space="preserve">The challenge of identifying defendants in police misconduct cases arises on two levels: (1) who was present at the scene and (2) who is </w:t>
      </w:r>
      <w:r w:rsidR="00BF278E" w:rsidRPr="006A612F">
        <w:t>“</w:t>
      </w:r>
      <w:r w:rsidRPr="006A612F">
        <w:t>personally responsible</w:t>
      </w:r>
      <w:r w:rsidR="00BF278E" w:rsidRPr="006A612F">
        <w:t>”</w:t>
      </w:r>
      <w:r w:rsidRPr="006A612F">
        <w:t xml:space="preserve"> for the constitutional deprivation.</w:t>
      </w:r>
      <w:r w:rsidR="006A559C" w:rsidRPr="006A612F">
        <w:t xml:space="preserve"> </w:t>
      </w:r>
    </w:p>
    <w:p w14:paraId="4834ED29" w14:textId="266A705B" w:rsidR="00F70B74" w:rsidRPr="006A612F" w:rsidRDefault="00166D0D" w:rsidP="00AA6ED0">
      <w:pPr>
        <w:pStyle w:val="SubHead2"/>
        <w:spacing w:line="240" w:lineRule="auto"/>
      </w:pPr>
      <w:r w:rsidRPr="006A612F">
        <w:t>A.</w:t>
      </w:r>
      <w:r w:rsidRPr="006A612F">
        <w:tab/>
      </w:r>
      <w:r w:rsidR="00F70B74" w:rsidRPr="006A612F">
        <w:t>Pre-Complaint Discovery</w:t>
      </w:r>
    </w:p>
    <w:p w14:paraId="317B08AD" w14:textId="7AF9E6A0" w:rsidR="00F70B74" w:rsidRPr="006A612F" w:rsidRDefault="00F70B74" w:rsidP="00AA6ED0">
      <w:pPr>
        <w:pStyle w:val="Document"/>
        <w:spacing w:line="240" w:lineRule="auto"/>
      </w:pPr>
      <w:r w:rsidRPr="006A612F">
        <w:t>Technically, federal civil litigation begins when a plaintiff files a complaint.</w:t>
      </w:r>
      <w:r w:rsidRPr="006A612F">
        <w:rPr>
          <w:rStyle w:val="NoterefInText"/>
        </w:rPr>
        <w:footnoteReference w:id="14"/>
      </w:r>
      <w:r w:rsidR="006A559C" w:rsidRPr="006A612F">
        <w:t xml:space="preserve"> </w:t>
      </w:r>
      <w:r w:rsidRPr="006A612F">
        <w:t>However, before filing a complaint</w:t>
      </w:r>
      <w:r w:rsidR="006E0ACE" w:rsidRPr="006A612F">
        <w:t>,</w:t>
      </w:r>
      <w:r w:rsidRPr="006A612F">
        <w:t xml:space="preserve"> a plaintiff needs to resolve some very basic, but necessary, issues</w:t>
      </w:r>
      <w:r w:rsidR="00A239C2" w:rsidRPr="006A612F">
        <w:t>—</w:t>
      </w:r>
      <w:r w:rsidRPr="006A612F">
        <w:t>like deciding who to sue.</w:t>
      </w:r>
      <w:r w:rsidR="006A559C" w:rsidRPr="006A612F">
        <w:t xml:space="preserve"> </w:t>
      </w:r>
      <w:r w:rsidRPr="006A612F">
        <w:t>This may be easier said than done. Immediately following an injury, many victims of police excessive force will not know who was there and how each officer contributed to the injury.</w:t>
      </w:r>
      <w:r w:rsidR="006A559C" w:rsidRPr="006A612F">
        <w:t xml:space="preserve"> </w:t>
      </w:r>
      <w:r w:rsidRPr="006A612F">
        <w:t>Yet, they need to figure this out to draft and file a complaint.</w:t>
      </w:r>
      <w:r w:rsidR="006A559C" w:rsidRPr="006A612F">
        <w:t xml:space="preserve"> </w:t>
      </w:r>
      <w:r w:rsidRPr="006A612F">
        <w:t>But how?</w:t>
      </w:r>
      <w:r w:rsidR="006A559C" w:rsidRPr="006A612F">
        <w:t xml:space="preserve"> </w:t>
      </w:r>
      <w:r w:rsidRPr="006A612F">
        <w:t xml:space="preserve">Unlike some state rules, the Federal Rules of Civil </w:t>
      </w:r>
      <w:r w:rsidRPr="006A612F">
        <w:lastRenderedPageBreak/>
        <w:t>Procedure offer very little in the way of pre-complaint discovery.</w:t>
      </w:r>
      <w:r w:rsidRPr="006A612F">
        <w:rPr>
          <w:rStyle w:val="NoterefInText"/>
        </w:rPr>
        <w:footnoteReference w:id="15"/>
      </w:r>
      <w:r w:rsidRPr="006A612F">
        <w:t xml:space="preserve"> Consequently, when plaintiff</w:t>
      </w:r>
      <w:r w:rsidR="0076494D" w:rsidRPr="006A612F">
        <w:t>s</w:t>
      </w:r>
      <w:r w:rsidRPr="006A612F">
        <w:t xml:space="preserve"> sue in federal court</w:t>
      </w:r>
      <w:r w:rsidR="006E0ACE" w:rsidRPr="006A612F">
        <w:t>,</w:t>
      </w:r>
      <w:r w:rsidRPr="006A612F">
        <w:t xml:space="preserve"> there is no formal rule for them to learn the identity of unknown defendants before filing a complaint.</w:t>
      </w:r>
    </w:p>
    <w:p w14:paraId="580892F6" w14:textId="3053022B" w:rsidR="00F70B74" w:rsidRPr="006A612F" w:rsidRDefault="00E45FA5" w:rsidP="00AA6ED0">
      <w:pPr>
        <w:pStyle w:val="Document"/>
        <w:spacing w:line="240" w:lineRule="auto"/>
      </w:pPr>
      <w:r w:rsidRPr="006A612F">
        <w:t>N</w:t>
      </w:r>
      <w:r w:rsidR="00F70B74" w:rsidRPr="006A612F">
        <w:t>evertheless,</w:t>
      </w:r>
      <w:r w:rsidRPr="006A612F">
        <w:t xml:space="preserve"> there are</w:t>
      </w:r>
      <w:r w:rsidR="00F70B74" w:rsidRPr="006A612F">
        <w:t xml:space="preserve"> several methods for putative plaintiff</w:t>
      </w:r>
      <w:r w:rsidR="008F6107" w:rsidRPr="006A612F">
        <w:t>s</w:t>
      </w:r>
      <w:r w:rsidR="00F70B74" w:rsidRPr="006A612F">
        <w:t xml:space="preserve"> to obtain information about their case before they formally file their claim.</w:t>
      </w:r>
      <w:r w:rsidR="006A559C" w:rsidRPr="006A612F">
        <w:t xml:space="preserve"> </w:t>
      </w:r>
      <w:r w:rsidR="00F70B74" w:rsidRPr="006A612F">
        <w:rPr>
          <w:color w:val="000000" w:themeColor="text1"/>
        </w:rPr>
        <w:t>Currently, thirty-</w:t>
      </w:r>
      <w:r w:rsidR="00DB30B2" w:rsidRPr="006A612F">
        <w:rPr>
          <w:color w:val="000000" w:themeColor="text1"/>
        </w:rPr>
        <w:t xml:space="preserve">three </w:t>
      </w:r>
      <w:r w:rsidR="00F70B74" w:rsidRPr="006A612F">
        <w:rPr>
          <w:color w:val="000000" w:themeColor="text1"/>
        </w:rPr>
        <w:t xml:space="preserve">states allow for </w:t>
      </w:r>
      <w:r w:rsidR="003B1140" w:rsidRPr="006A612F">
        <w:rPr>
          <w:color w:val="000000" w:themeColor="text1"/>
        </w:rPr>
        <w:t xml:space="preserve">some form of </w:t>
      </w:r>
      <w:r w:rsidR="00F70B74" w:rsidRPr="006A612F">
        <w:rPr>
          <w:color w:val="000000" w:themeColor="text1"/>
        </w:rPr>
        <w:t>pre-complaint discovery.</w:t>
      </w:r>
      <w:r w:rsidR="00F70B74" w:rsidRPr="006A612F">
        <w:rPr>
          <w:rStyle w:val="NoterefInText"/>
        </w:rPr>
        <w:footnoteReference w:id="16"/>
      </w:r>
      <w:r w:rsidR="00F70B74" w:rsidRPr="006A612F">
        <w:rPr>
          <w:color w:val="000000" w:themeColor="text1"/>
        </w:rPr>
        <w:t xml:space="preserve"> The rules of civil procedure permitting this discovery vary by state but, generally</w:t>
      </w:r>
      <w:r w:rsidR="001D0346" w:rsidRPr="006A612F">
        <w:rPr>
          <w:color w:val="000000" w:themeColor="text1"/>
        </w:rPr>
        <w:t>,</w:t>
      </w:r>
      <w:r w:rsidR="00F70B74" w:rsidRPr="006A612F">
        <w:rPr>
          <w:color w:val="000000" w:themeColor="text1"/>
        </w:rPr>
        <w:t xml:space="preserve"> </w:t>
      </w:r>
      <w:r w:rsidR="00F70B74" w:rsidRPr="006A612F">
        <w:rPr>
          <w:shd w:val="clear" w:color="auto" w:fill="FFFFFF"/>
        </w:rPr>
        <w:t>provide a formal method to discover the identities of defendants before plaintiffs file their complaint.</w:t>
      </w:r>
      <w:r w:rsidR="00F70B74" w:rsidRPr="006A612F">
        <w:rPr>
          <w:rStyle w:val="NoterefInText"/>
        </w:rPr>
        <w:footnoteReference w:id="17"/>
      </w:r>
      <w:r w:rsidR="006A559C" w:rsidRPr="006A612F">
        <w:rPr>
          <w:shd w:val="clear" w:color="auto" w:fill="FFFFFF"/>
        </w:rPr>
        <w:t xml:space="preserve"> </w:t>
      </w:r>
      <w:r w:rsidR="00F70B74" w:rsidRPr="006A612F">
        <w:rPr>
          <w:shd w:val="clear" w:color="auto" w:fill="FFFFFF"/>
        </w:rPr>
        <w:t>This, theoretically, should reduce the need to use the John Doe designee.</w:t>
      </w:r>
    </w:p>
    <w:p w14:paraId="5BFAD775" w14:textId="2CBD4BE0" w:rsidR="00F70B74" w:rsidRPr="006A612F" w:rsidRDefault="00F70B74" w:rsidP="00AA6ED0">
      <w:pPr>
        <w:pStyle w:val="Document"/>
        <w:spacing w:line="240" w:lineRule="auto"/>
        <w:rPr>
          <w:shd w:val="clear" w:color="auto" w:fill="FFFFFF"/>
        </w:rPr>
      </w:pPr>
      <w:r w:rsidRPr="006A612F">
        <w:rPr>
          <w:color w:val="000000" w:themeColor="text1"/>
          <w:shd w:val="clear" w:color="auto" w:fill="FFFFFF"/>
        </w:rPr>
        <w:t>Video evidence also decreases the likelihood that § 1983 plaintiffs will need to rely on fictional defendants.</w:t>
      </w:r>
      <w:r w:rsidR="006A559C" w:rsidRPr="006A612F">
        <w:rPr>
          <w:color w:val="000000" w:themeColor="text1"/>
          <w:shd w:val="clear" w:color="auto" w:fill="FFFFFF"/>
        </w:rPr>
        <w:t xml:space="preserve"> </w:t>
      </w:r>
      <w:r w:rsidRPr="006A612F">
        <w:rPr>
          <w:shd w:val="clear" w:color="auto" w:fill="FFFFFF"/>
        </w:rPr>
        <w:t xml:space="preserve">As discussed in </w:t>
      </w:r>
      <w:r w:rsidR="001D0346" w:rsidRPr="006A612F">
        <w:rPr>
          <w:shd w:val="clear" w:color="auto" w:fill="FFFFFF"/>
        </w:rPr>
        <w:t>subpart</w:t>
      </w:r>
      <w:r w:rsidR="00696FB0" w:rsidRPr="006A612F">
        <w:rPr>
          <w:shd w:val="clear" w:color="auto" w:fill="FFFFFF"/>
        </w:rPr>
        <w:t xml:space="preserve"> </w:t>
      </w:r>
      <w:r w:rsidR="005066AE" w:rsidRPr="006A612F">
        <w:rPr>
          <w:shd w:val="clear" w:color="auto" w:fill="FFFFFF"/>
        </w:rPr>
        <w:t>I(</w:t>
      </w:r>
      <w:r w:rsidRPr="006A612F">
        <w:rPr>
          <w:shd w:val="clear" w:color="auto" w:fill="FFFFFF"/>
        </w:rPr>
        <w:t>D</w:t>
      </w:r>
      <w:r w:rsidR="005066AE" w:rsidRPr="006A612F">
        <w:rPr>
          <w:shd w:val="clear" w:color="auto" w:fill="FFFFFF"/>
        </w:rPr>
        <w:t>)</w:t>
      </w:r>
      <w:r w:rsidRPr="006A612F">
        <w:rPr>
          <w:shd w:val="clear" w:color="auto" w:fill="FFFFFF"/>
        </w:rPr>
        <w:t xml:space="preserve">, many police departments have outfitted police vehicles and officers with video cameras. </w:t>
      </w:r>
      <w:r w:rsidRPr="006A612F">
        <w:t>State freedom of information laws offer one pre-complaint mechanism for plaintiffs to obtain video evidence.</w:t>
      </w:r>
      <w:r w:rsidR="006A559C" w:rsidRPr="006A612F">
        <w:t xml:space="preserve"> </w:t>
      </w:r>
      <w:r w:rsidRPr="006A612F">
        <w:rPr>
          <w:shd w:val="clear" w:color="auto" w:fill="FFFFFF"/>
        </w:rPr>
        <w:t>Each state has enacted their own freedom of information laws.</w:t>
      </w:r>
      <w:r w:rsidRPr="006A612F">
        <w:rPr>
          <w:rStyle w:val="NoterefInText"/>
        </w:rPr>
        <w:footnoteReference w:id="18"/>
      </w:r>
      <w:r w:rsidR="006A559C" w:rsidRPr="006A612F">
        <w:rPr>
          <w:shd w:val="clear" w:color="auto" w:fill="FFFFFF"/>
        </w:rPr>
        <w:t xml:space="preserve"> </w:t>
      </w:r>
      <w:r w:rsidRPr="006A612F">
        <w:rPr>
          <w:shd w:val="clear" w:color="auto" w:fill="FFFFFF"/>
        </w:rPr>
        <w:t>These laws allow a person to request documents and </w:t>
      </w:r>
      <w:r w:rsidRPr="006A612F">
        <w:t>records</w:t>
      </w:r>
      <w:r w:rsidRPr="006A612F">
        <w:rPr>
          <w:shd w:val="clear" w:color="auto" w:fill="FFFFFF"/>
        </w:rPr>
        <w:t xml:space="preserve"> not generally prepared for distribution and </w:t>
      </w:r>
      <w:r w:rsidRPr="006A612F">
        <w:rPr>
          <w:shd w:val="clear" w:color="auto" w:fill="FFFFFF"/>
        </w:rPr>
        <w:lastRenderedPageBreak/>
        <w:t>dissemination to the public.</w:t>
      </w:r>
      <w:r w:rsidRPr="006A612F">
        <w:rPr>
          <w:rStyle w:val="NoterefInText"/>
        </w:rPr>
        <w:footnoteReference w:id="19"/>
      </w:r>
      <w:r w:rsidRPr="006A612F">
        <w:rPr>
          <w:shd w:val="clear" w:color="auto" w:fill="FFFFFF"/>
        </w:rPr>
        <w:t xml:space="preserve"> </w:t>
      </w:r>
      <w:r w:rsidR="00745CC1" w:rsidRPr="006A612F">
        <w:t>Generally, d</w:t>
      </w:r>
      <w:r w:rsidRPr="006A612F">
        <w:t xml:space="preserve">isclosure under state freedom of information laws </w:t>
      </w:r>
      <w:r w:rsidR="00BF278E" w:rsidRPr="006A612F">
        <w:t>“</w:t>
      </w:r>
      <w:r w:rsidRPr="006A612F">
        <w:rPr>
          <w:shd w:val="clear" w:color="auto" w:fill="FFFFFF"/>
        </w:rPr>
        <w:t>are subject to statutory exemptions, common-law limitations, or an overriding public interest in keeping the</w:t>
      </w:r>
      <w:r w:rsidR="006C169D" w:rsidRPr="006A612F">
        <w:rPr>
          <w:shd w:val="clear" w:color="auto" w:fill="FFFFFF"/>
        </w:rPr>
        <w:t xml:space="preserve"> </w:t>
      </w:r>
      <w:r w:rsidRPr="006A612F">
        <w:t>record</w:t>
      </w:r>
      <w:r w:rsidR="006C169D" w:rsidRPr="006A612F">
        <w:rPr>
          <w:shd w:val="clear" w:color="auto" w:fill="FFFFFF"/>
        </w:rPr>
        <w:t xml:space="preserve"> </w:t>
      </w:r>
      <w:r w:rsidRPr="006A612F">
        <w:rPr>
          <w:shd w:val="clear" w:color="auto" w:fill="FFFFFF"/>
        </w:rPr>
        <w:t>confidential</w:t>
      </w:r>
      <w:r w:rsidRPr="006A612F">
        <w:t>.</w:t>
      </w:r>
      <w:r w:rsidR="00BF278E" w:rsidRPr="006A612F">
        <w:t>”</w:t>
      </w:r>
      <w:r w:rsidRPr="006A612F">
        <w:rPr>
          <w:rStyle w:val="NoterefInText"/>
        </w:rPr>
        <w:footnoteReference w:id="20"/>
      </w:r>
      <w:r w:rsidRPr="006A612F">
        <w:t xml:space="preserve"> </w:t>
      </w:r>
      <w:r w:rsidRPr="006A612F">
        <w:rPr>
          <w:shd w:val="clear" w:color="auto" w:fill="FFFFFF"/>
        </w:rPr>
        <w:t>However, certain states, like Illinois and Pennsylvania, have created exceptions that severely limit the information that can be released to the public.</w:t>
      </w:r>
      <w:r w:rsidRPr="006A612F">
        <w:rPr>
          <w:rStyle w:val="NoterefInText"/>
        </w:rPr>
        <w:footnoteReference w:id="21"/>
      </w:r>
      <w:r w:rsidRPr="006A612F">
        <w:rPr>
          <w:shd w:val="clear" w:color="auto" w:fill="FFFFFF"/>
        </w:rPr>
        <w:t xml:space="preserve"> These exceptions include barring the use of police video and audio recordings when </w:t>
      </w:r>
      <w:r w:rsidR="006E1EAF" w:rsidRPr="006A612F">
        <w:rPr>
          <w:shd w:val="clear" w:color="auto" w:fill="FFFFFF"/>
        </w:rPr>
        <w:t xml:space="preserve">their </w:t>
      </w:r>
      <w:r w:rsidRPr="006A612F">
        <w:rPr>
          <w:shd w:val="clear" w:color="auto" w:fill="FFFFFF"/>
        </w:rPr>
        <w:t>contents relate to pending criminal investigations.</w:t>
      </w:r>
      <w:r w:rsidRPr="006A612F">
        <w:rPr>
          <w:rStyle w:val="NoterefInText"/>
        </w:rPr>
        <w:footnoteReference w:id="22"/>
      </w:r>
      <w:r w:rsidRPr="006A612F">
        <w:rPr>
          <w:shd w:val="clear" w:color="auto" w:fill="FFFFFF"/>
        </w:rPr>
        <w:t xml:space="preserve"> On the other hand, states such as Arizona and New Jersey have limited municipalities</w:t>
      </w:r>
      <w:r w:rsidR="00BF278E" w:rsidRPr="006A612F">
        <w:rPr>
          <w:shd w:val="clear" w:color="auto" w:fill="FFFFFF"/>
        </w:rPr>
        <w:t>’</w:t>
      </w:r>
      <w:r w:rsidRPr="006A612F">
        <w:rPr>
          <w:shd w:val="clear" w:color="auto" w:fill="FFFFFF"/>
        </w:rPr>
        <w:t xml:space="preserve"> ability to withhold security and dashboard camera footage</w:t>
      </w:r>
      <w:r w:rsidR="00F966D6" w:rsidRPr="006A612F">
        <w:rPr>
          <w:shd w:val="clear" w:color="auto" w:fill="FFFFFF"/>
        </w:rPr>
        <w:t>, which</w:t>
      </w:r>
      <w:r w:rsidRPr="006A612F">
        <w:rPr>
          <w:shd w:val="clear" w:color="auto" w:fill="FFFFFF"/>
        </w:rPr>
        <w:t xml:space="preserve"> make</w:t>
      </w:r>
      <w:r w:rsidR="00F966D6" w:rsidRPr="006A612F">
        <w:rPr>
          <w:shd w:val="clear" w:color="auto" w:fill="FFFFFF"/>
        </w:rPr>
        <w:t>s</w:t>
      </w:r>
      <w:r w:rsidRPr="006A612F">
        <w:rPr>
          <w:shd w:val="clear" w:color="auto" w:fill="FFFFFF"/>
        </w:rPr>
        <w:t xml:space="preserve"> it easier for individuals to obtain footage.</w:t>
      </w:r>
      <w:r w:rsidRPr="006A612F">
        <w:rPr>
          <w:rStyle w:val="NoterefInText"/>
        </w:rPr>
        <w:footnoteReference w:id="23"/>
      </w:r>
    </w:p>
    <w:p w14:paraId="41289984" w14:textId="03E2EDC2" w:rsidR="00F70B74" w:rsidRPr="006A612F" w:rsidRDefault="00F70B74" w:rsidP="00AA6ED0">
      <w:pPr>
        <w:pStyle w:val="Document"/>
        <w:spacing w:line="240" w:lineRule="auto"/>
      </w:pPr>
      <w:r w:rsidRPr="006A612F">
        <w:rPr>
          <w:color w:val="000000" w:themeColor="text1"/>
          <w:shd w:val="clear" w:color="auto" w:fill="FFFFFF"/>
        </w:rPr>
        <w:t>Currently, twenty-three states and the District of Columbia have enacted legislation specifying separate procedures for requesting body-camera footage under open records law and detailing which footage can and cannot be released to the public.</w:t>
      </w:r>
      <w:r w:rsidRPr="006A612F">
        <w:rPr>
          <w:rStyle w:val="NoterefInText"/>
        </w:rPr>
        <w:footnoteReference w:id="24"/>
      </w:r>
      <w:r w:rsidR="006A559C" w:rsidRPr="006A612F">
        <w:rPr>
          <w:color w:val="000000" w:themeColor="text1"/>
          <w:shd w:val="clear" w:color="auto" w:fill="FFFFFF"/>
        </w:rPr>
        <w:t xml:space="preserve"> </w:t>
      </w:r>
      <w:r w:rsidRPr="006A612F">
        <w:rPr>
          <w:color w:val="000000" w:themeColor="text1"/>
        </w:rPr>
        <w:t>State statutes differ regarding public access to police recordings.</w:t>
      </w:r>
      <w:bookmarkStart w:id="1" w:name="_Ref92290887"/>
      <w:r w:rsidRPr="006A612F">
        <w:rPr>
          <w:rStyle w:val="NoterefInText"/>
        </w:rPr>
        <w:footnoteReference w:id="25"/>
      </w:r>
      <w:bookmarkEnd w:id="1"/>
      <w:r w:rsidRPr="006A612F">
        <w:rPr>
          <w:color w:val="000000" w:themeColor="text1"/>
        </w:rPr>
        <w:t xml:space="preserve"> </w:t>
      </w:r>
      <w:r w:rsidRPr="006A612F">
        <w:rPr>
          <w:color w:val="000000" w:themeColor="text1"/>
          <w:shd w:val="clear" w:color="auto" w:fill="FFFFFF"/>
        </w:rPr>
        <w:t>Oregon is an example of a b</w:t>
      </w:r>
      <w:r w:rsidR="002068E8" w:rsidRPr="006A612F">
        <w:rPr>
          <w:color w:val="000000" w:themeColor="text1"/>
          <w:shd w:val="clear" w:color="auto" w:fill="FFFFFF"/>
        </w:rPr>
        <w:t>r</w:t>
      </w:r>
      <w:r w:rsidRPr="006A612F">
        <w:rPr>
          <w:color w:val="000000" w:themeColor="text1"/>
          <w:shd w:val="clear" w:color="auto" w:fill="FFFFFF"/>
        </w:rPr>
        <w:t>oad state in regard to gaining access to body-camera footage.</w:t>
      </w:r>
      <w:r w:rsidRPr="006A612F">
        <w:rPr>
          <w:rStyle w:val="NoterefInText"/>
        </w:rPr>
        <w:footnoteReference w:id="26"/>
      </w:r>
      <w:r w:rsidRPr="006A612F">
        <w:rPr>
          <w:color w:val="000000" w:themeColor="text1"/>
          <w:shd w:val="clear" w:color="auto" w:fill="FFFFFF"/>
        </w:rPr>
        <w:t xml:space="preserve"> </w:t>
      </w:r>
      <w:r w:rsidR="00D803DD" w:rsidRPr="006A612F">
        <w:rPr>
          <w:color w:val="000000" w:themeColor="text1"/>
          <w:shd w:val="clear" w:color="auto" w:fill="FFFFFF"/>
        </w:rPr>
        <w:t>Oregon</w:t>
      </w:r>
      <w:r w:rsidRPr="006A612F">
        <w:rPr>
          <w:color w:val="000000" w:themeColor="text1"/>
          <w:shd w:val="clear" w:color="auto" w:fill="FFFFFF"/>
        </w:rPr>
        <w:t xml:space="preserve"> excludes body-worn camera footage from open record laws; however, </w:t>
      </w:r>
      <w:r w:rsidR="00D803DD" w:rsidRPr="006A612F">
        <w:rPr>
          <w:color w:val="000000" w:themeColor="text1"/>
          <w:shd w:val="clear" w:color="auto" w:fill="FFFFFF"/>
        </w:rPr>
        <w:t xml:space="preserve">the </w:t>
      </w:r>
      <w:r w:rsidRPr="006A612F">
        <w:rPr>
          <w:color w:val="000000" w:themeColor="text1"/>
          <w:shd w:val="clear" w:color="auto" w:fill="FFFFFF"/>
        </w:rPr>
        <w:t>state provides an exception that allows the public to access the video in current situations.</w:t>
      </w:r>
      <w:r w:rsidRPr="006A612F">
        <w:rPr>
          <w:rStyle w:val="NoterefInText"/>
        </w:rPr>
        <w:footnoteReference w:id="27"/>
      </w:r>
      <w:r w:rsidRPr="006A612F">
        <w:rPr>
          <w:color w:val="000000" w:themeColor="text1"/>
          <w:shd w:val="clear" w:color="auto" w:fill="FFFFFF"/>
        </w:rPr>
        <w:t xml:space="preserve"> The statute in Oregon allows for </w:t>
      </w:r>
      <w:r w:rsidR="00F966D6" w:rsidRPr="006A612F">
        <w:rPr>
          <w:color w:val="000000" w:themeColor="text1"/>
          <w:shd w:val="clear" w:color="auto" w:fill="FFFFFF"/>
        </w:rPr>
        <w:t>body-</w:t>
      </w:r>
      <w:r w:rsidRPr="006A612F">
        <w:rPr>
          <w:color w:val="000000" w:themeColor="text1"/>
          <w:shd w:val="clear" w:color="auto" w:fill="FFFFFF"/>
        </w:rPr>
        <w:t xml:space="preserve">camera footage to be released if releasing it serves </w:t>
      </w:r>
      <w:r w:rsidRPr="006A612F">
        <w:rPr>
          <w:color w:val="000000" w:themeColor="text1"/>
          <w:shd w:val="clear" w:color="auto" w:fill="FFFFFF"/>
        </w:rPr>
        <w:lastRenderedPageBreak/>
        <w:t>the public interest with the caveat that the persons</w:t>
      </w:r>
      <w:r w:rsidR="00BF278E" w:rsidRPr="006A612F">
        <w:rPr>
          <w:color w:val="000000" w:themeColor="text1"/>
          <w:shd w:val="clear" w:color="auto" w:fill="FFFFFF"/>
        </w:rPr>
        <w:t>’</w:t>
      </w:r>
      <w:r w:rsidRPr="006A612F">
        <w:rPr>
          <w:color w:val="000000" w:themeColor="text1"/>
          <w:shd w:val="clear" w:color="auto" w:fill="FFFFFF"/>
        </w:rPr>
        <w:t xml:space="preserve"> faces are unidentifiable.</w:t>
      </w:r>
      <w:r w:rsidRPr="006A612F">
        <w:rPr>
          <w:rStyle w:val="NoterefInText"/>
        </w:rPr>
        <w:footnoteReference w:id="28"/>
      </w:r>
      <w:r w:rsidRPr="006A612F">
        <w:rPr>
          <w:color w:val="000000" w:themeColor="text1"/>
          <w:shd w:val="clear" w:color="auto" w:fill="FFFFFF"/>
        </w:rPr>
        <w:t xml:space="preserve"> Similarly, Georgia allows access</w:t>
      </w:r>
      <w:r w:rsidR="002068E8" w:rsidRPr="006A612F">
        <w:rPr>
          <w:color w:val="000000" w:themeColor="text1"/>
          <w:shd w:val="clear" w:color="auto" w:fill="FFFFFF"/>
        </w:rPr>
        <w:t xml:space="preserve"> to body-camera footage</w:t>
      </w:r>
      <w:r w:rsidRPr="006A612F">
        <w:rPr>
          <w:color w:val="000000" w:themeColor="text1"/>
          <w:shd w:val="clear" w:color="auto" w:fill="FFFFFF"/>
        </w:rPr>
        <w:t xml:space="preserve"> to </w:t>
      </w:r>
      <w:r w:rsidR="00BF278E" w:rsidRPr="006A612F">
        <w:rPr>
          <w:color w:val="000000" w:themeColor="text1"/>
          <w:shd w:val="clear" w:color="auto" w:fill="FFFFFF"/>
        </w:rPr>
        <w:t>“</w:t>
      </w:r>
      <w:r w:rsidRPr="006A612F">
        <w:rPr>
          <w:color w:val="000000" w:themeColor="text1"/>
          <w:shd w:val="clear" w:color="auto" w:fill="FFFFFF"/>
        </w:rPr>
        <w:t>those who believe the video would be relevant to a pending criminal case or civil action.</w:t>
      </w:r>
      <w:r w:rsidR="00BF278E" w:rsidRPr="006A612F">
        <w:rPr>
          <w:color w:val="000000" w:themeColor="text1"/>
          <w:shd w:val="clear" w:color="auto" w:fill="FFFFFF"/>
        </w:rPr>
        <w:t>”</w:t>
      </w:r>
      <w:r w:rsidRPr="006A612F">
        <w:rPr>
          <w:rStyle w:val="NoterefInText"/>
        </w:rPr>
        <w:footnoteReference w:id="29"/>
      </w:r>
      <w:r w:rsidRPr="006A612F">
        <w:rPr>
          <w:color w:val="000000" w:themeColor="text1"/>
          <w:shd w:val="clear" w:color="auto" w:fill="FFFFFF"/>
        </w:rPr>
        <w:t xml:space="preserve"> In Florida and South Carolina, persons who are the subject of </w:t>
      </w:r>
      <w:r w:rsidR="00F966D6" w:rsidRPr="006A612F">
        <w:rPr>
          <w:color w:val="000000" w:themeColor="text1"/>
          <w:shd w:val="clear" w:color="auto" w:fill="FFFFFF"/>
        </w:rPr>
        <w:t xml:space="preserve">a </w:t>
      </w:r>
      <w:r w:rsidRPr="006A612F">
        <w:rPr>
          <w:color w:val="000000" w:themeColor="text1"/>
          <w:shd w:val="clear" w:color="auto" w:fill="FFFFFF"/>
        </w:rPr>
        <w:t>body-worn camera recording may request the video.</w:t>
      </w:r>
      <w:r w:rsidRPr="006A612F">
        <w:rPr>
          <w:rStyle w:val="NoterefInText"/>
        </w:rPr>
        <w:footnoteReference w:id="30"/>
      </w:r>
      <w:r w:rsidR="006A559C" w:rsidRPr="006A612F">
        <w:rPr>
          <w:color w:val="000000" w:themeColor="text1"/>
          <w:shd w:val="clear" w:color="auto" w:fill="FFFFFF"/>
        </w:rPr>
        <w:t xml:space="preserve"> </w:t>
      </w:r>
      <w:r w:rsidRPr="006A612F">
        <w:rPr>
          <w:color w:val="000000" w:themeColor="text1"/>
          <w:shd w:val="clear" w:color="auto" w:fill="FFFFFF"/>
        </w:rPr>
        <w:t>Oddly enough</w:t>
      </w:r>
      <w:r w:rsidR="00990237" w:rsidRPr="006A612F">
        <w:rPr>
          <w:color w:val="000000" w:themeColor="text1"/>
          <w:shd w:val="clear" w:color="auto" w:fill="FFFFFF"/>
        </w:rPr>
        <w:t>,</w:t>
      </w:r>
      <w:r w:rsidRPr="006A612F">
        <w:rPr>
          <w:color w:val="000000" w:themeColor="text1"/>
          <w:shd w:val="clear" w:color="auto" w:fill="FFFFFF"/>
        </w:rPr>
        <w:t xml:space="preserve"> states such as Connecticut include body</w:t>
      </w:r>
      <w:r w:rsidR="00F966D6" w:rsidRPr="006A612F">
        <w:rPr>
          <w:color w:val="000000" w:themeColor="text1"/>
          <w:shd w:val="clear" w:color="auto" w:fill="FFFFFF"/>
        </w:rPr>
        <w:t>-</w:t>
      </w:r>
      <w:r w:rsidRPr="006A612F">
        <w:rPr>
          <w:color w:val="000000" w:themeColor="text1"/>
          <w:shd w:val="clear" w:color="auto" w:fill="FFFFFF"/>
        </w:rPr>
        <w:t xml:space="preserve">camera footage as public record; however, </w:t>
      </w:r>
      <w:r w:rsidR="00E4585D" w:rsidRPr="006A612F">
        <w:rPr>
          <w:color w:val="000000" w:themeColor="text1"/>
          <w:shd w:val="clear" w:color="auto" w:fill="FFFFFF"/>
        </w:rPr>
        <w:t>Connecticut</w:t>
      </w:r>
      <w:r w:rsidR="00BF278E" w:rsidRPr="006A612F">
        <w:rPr>
          <w:color w:val="000000" w:themeColor="text1"/>
          <w:shd w:val="clear" w:color="auto" w:fill="FFFFFF"/>
        </w:rPr>
        <w:t>’</w:t>
      </w:r>
      <w:r w:rsidR="00E4585D" w:rsidRPr="006A612F">
        <w:rPr>
          <w:color w:val="000000" w:themeColor="text1"/>
          <w:shd w:val="clear" w:color="auto" w:fill="FFFFFF"/>
        </w:rPr>
        <w:t xml:space="preserve">s </w:t>
      </w:r>
      <w:r w:rsidRPr="006A612F">
        <w:rPr>
          <w:color w:val="000000" w:themeColor="text1"/>
          <w:shd w:val="clear" w:color="auto" w:fill="FFFFFF"/>
        </w:rPr>
        <w:t>policy has exception</w:t>
      </w:r>
      <w:r w:rsidR="00EA43E9" w:rsidRPr="006A612F">
        <w:rPr>
          <w:color w:val="000000" w:themeColor="text1"/>
          <w:shd w:val="clear" w:color="auto" w:fill="FFFFFF"/>
        </w:rPr>
        <w:t>s</w:t>
      </w:r>
      <w:r w:rsidRPr="006A612F">
        <w:rPr>
          <w:color w:val="000000" w:themeColor="text1"/>
          <w:shd w:val="clear" w:color="auto" w:fill="FFFFFF"/>
        </w:rPr>
        <w:t xml:space="preserve"> that make it difficult to obtain this footage.</w:t>
      </w:r>
      <w:r w:rsidRPr="006A612F">
        <w:rPr>
          <w:rStyle w:val="NoterefInText"/>
        </w:rPr>
        <w:footnoteReference w:id="31"/>
      </w:r>
      <w:r w:rsidRPr="006A612F">
        <w:rPr>
          <w:color w:val="000000" w:themeColor="text1"/>
          <w:shd w:val="clear" w:color="auto" w:fill="FFFFFF"/>
        </w:rPr>
        <w:t xml:space="preserve"> I</w:t>
      </w:r>
      <w:r w:rsidRPr="006A612F">
        <w:t>f civil plaintiffs are unable to identify the defendant, they do have another option</w:t>
      </w:r>
      <w:r w:rsidR="00470C14" w:rsidRPr="006A612F">
        <w:t>—</w:t>
      </w:r>
      <w:r w:rsidRPr="006A612F">
        <w:t>file a claim against a Doe defendant.</w:t>
      </w:r>
    </w:p>
    <w:p w14:paraId="4D963A03" w14:textId="4EAF41F9" w:rsidR="00F70B74" w:rsidRPr="006A612F" w:rsidRDefault="00166D0D" w:rsidP="00AA6ED0">
      <w:pPr>
        <w:pStyle w:val="SubHead2"/>
        <w:spacing w:line="240" w:lineRule="auto"/>
      </w:pPr>
      <w:r w:rsidRPr="006A612F">
        <w:t>B.</w:t>
      </w:r>
      <w:r w:rsidRPr="006A612F">
        <w:tab/>
      </w:r>
      <w:r w:rsidR="00F70B74" w:rsidRPr="006A612F">
        <w:t>Meet John Doe</w:t>
      </w:r>
    </w:p>
    <w:p w14:paraId="173C75DC" w14:textId="6CF86FB8" w:rsidR="00F70B74" w:rsidRPr="006A612F" w:rsidRDefault="00BF278E" w:rsidP="00AA6ED0">
      <w:pPr>
        <w:pStyle w:val="Document"/>
        <w:spacing w:line="240" w:lineRule="auto"/>
      </w:pPr>
      <w:r w:rsidRPr="006A612F">
        <w:t>“</w:t>
      </w:r>
      <w:r w:rsidR="00F70B74" w:rsidRPr="006A612F">
        <w:t>John Doe</w:t>
      </w:r>
      <w:r w:rsidRPr="006A612F">
        <w:t>”</w:t>
      </w:r>
      <w:r w:rsidR="00F70B74" w:rsidRPr="006A612F">
        <w:t xml:space="preserve"> is perhaps the best-known pseudonym for a person whose identity is unknown.</w:t>
      </w:r>
      <w:r w:rsidR="00F70B74" w:rsidRPr="006A612F">
        <w:rPr>
          <w:rStyle w:val="NoterefInText"/>
        </w:rPr>
        <w:footnoteReference w:id="32"/>
      </w:r>
      <w:r w:rsidR="006A559C" w:rsidRPr="006A612F">
        <w:t xml:space="preserve"> </w:t>
      </w:r>
      <w:r w:rsidR="00F70B74" w:rsidRPr="006A612F">
        <w:t>One might appropriately describe him as a shadow</w:t>
      </w:r>
      <w:r w:rsidR="00EF2A40" w:rsidRPr="006A612F">
        <w:t>—</w:t>
      </w:r>
      <w:r w:rsidR="00F70B74" w:rsidRPr="006A612F">
        <w:t>he assumes the shape of a person but lacks many of the details necessary to identify him</w:t>
      </w:r>
      <w:r w:rsidR="00F966D6" w:rsidRPr="006A612F">
        <w:t>,</w:t>
      </w:r>
      <w:r w:rsidR="00F70B74" w:rsidRPr="006A612F">
        <w:t xml:space="preserve"> and he appears time and time again.</w:t>
      </w:r>
      <w:r w:rsidR="006A559C" w:rsidRPr="006A612F">
        <w:t xml:space="preserve"> </w:t>
      </w:r>
      <w:r w:rsidR="00F70B74" w:rsidRPr="006A612F">
        <w:t xml:space="preserve">In practice, </w:t>
      </w:r>
      <w:r w:rsidRPr="006A612F">
        <w:t>“</w:t>
      </w:r>
      <w:r w:rsidR="00F70B74" w:rsidRPr="006A612F">
        <w:t>he</w:t>
      </w:r>
      <w:r w:rsidRPr="006A612F">
        <w:t>”</w:t>
      </w:r>
      <w:r w:rsidR="00F70B74" w:rsidRPr="006A612F">
        <w:t xml:space="preserve"> is merely a placeholder and will be replaced by actual defendants once the plaintiff learns their real legal identities.</w:t>
      </w:r>
      <w:r w:rsidR="006A559C" w:rsidRPr="006A612F">
        <w:t xml:space="preserve"> </w:t>
      </w:r>
      <w:r w:rsidR="00F70B74" w:rsidRPr="006A612F">
        <w:t>As one might intuit, John Doe cases usually involve informational asymmetry, and this asymmetry may be traced back to the absence of a pre-existing relationship.</w:t>
      </w:r>
      <w:r w:rsidR="006A559C" w:rsidRPr="006A612F">
        <w:t xml:space="preserve"> </w:t>
      </w:r>
      <w:r w:rsidR="002068E8" w:rsidRPr="006A612F">
        <w:t>The following</w:t>
      </w:r>
      <w:r w:rsidR="00F70B74" w:rsidRPr="006A612F">
        <w:t xml:space="preserve"> offers empirical evidence to support this intuition</w:t>
      </w:r>
      <w:r w:rsidR="002068E8" w:rsidRPr="006A612F">
        <w:t>,</w:t>
      </w:r>
      <w:r w:rsidR="006A559C" w:rsidRPr="006A612F">
        <w:t xml:space="preserve"> </w:t>
      </w:r>
      <w:r w:rsidR="00F70B74" w:rsidRPr="006A612F">
        <w:t>categoriz</w:t>
      </w:r>
      <w:r w:rsidR="002068E8" w:rsidRPr="006A612F">
        <w:t>ing</w:t>
      </w:r>
      <w:r w:rsidR="00F70B74" w:rsidRPr="006A612F">
        <w:t xml:space="preserve"> civil cases filed against Doe defendants in federal courts in Georgia, Illinois, Pennsylvania, and Washington from January 1, 2019</w:t>
      </w:r>
      <w:r w:rsidR="00F966D6" w:rsidRPr="006A612F">
        <w:t>,</w:t>
      </w:r>
      <w:r w:rsidR="00F70B74" w:rsidRPr="006A612F">
        <w:t xml:space="preserve"> until January 1, 2020</w:t>
      </w:r>
      <w:r w:rsidR="00F966D6" w:rsidRPr="006A612F">
        <w:t>,</w:t>
      </w:r>
      <w:r w:rsidR="00F70B74" w:rsidRPr="006A612F">
        <w:t xml:space="preserve"> based upon case types.</w:t>
      </w:r>
      <w:r w:rsidR="00F70B74" w:rsidRPr="006A612F">
        <w:rPr>
          <w:rStyle w:val="NoterefInText"/>
        </w:rPr>
        <w:footnoteReference w:id="33"/>
      </w:r>
    </w:p>
    <w:tbl>
      <w:tblPr>
        <w:tblStyle w:val="GridTable5Dark-Accent3"/>
        <w:tblW w:w="7101"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80"/>
        <w:gridCol w:w="630"/>
        <w:gridCol w:w="603"/>
        <w:gridCol w:w="598"/>
        <w:gridCol w:w="599"/>
        <w:gridCol w:w="598"/>
        <w:gridCol w:w="599"/>
        <w:gridCol w:w="598"/>
        <w:gridCol w:w="599"/>
        <w:gridCol w:w="598"/>
        <w:gridCol w:w="599"/>
      </w:tblGrid>
      <w:tr w:rsidR="001A7D90" w:rsidRPr="006A612F" w14:paraId="2FCBB5D5" w14:textId="77777777" w:rsidTr="00732F34">
        <w:trPr>
          <w:cnfStyle w:val="100000000000" w:firstRow="1" w:lastRow="0" w:firstColumn="0" w:lastColumn="0" w:oddVBand="0" w:evenVBand="0" w:oddHBand="0" w:evenHBand="0" w:firstRowFirstColumn="0" w:firstRowLastColumn="0" w:lastRowFirstColumn="0" w:lastRowLastColumn="0"/>
          <w:trHeight w:val="40"/>
          <w:tblHeader/>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000000" w:themeColor="text1"/>
              <w:left w:val="single" w:sz="4" w:space="0" w:color="000000" w:themeColor="text1"/>
            </w:tcBorders>
            <w:shd w:val="clear" w:color="auto" w:fill="D9D9D9" w:themeFill="background1" w:themeFillShade="D9"/>
          </w:tcPr>
          <w:p w14:paraId="0F609704"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p>
        </w:tc>
        <w:tc>
          <w:tcPr>
            <w:tcW w:w="1233" w:type="dxa"/>
            <w:gridSpan w:val="2"/>
            <w:tcBorders>
              <w:top w:val="single" w:sz="4" w:space="0" w:color="000000" w:themeColor="text1"/>
            </w:tcBorders>
            <w:shd w:val="clear" w:color="auto" w:fill="FFFFFF" w:themeFill="background1"/>
          </w:tcPr>
          <w:p w14:paraId="078E1EA4" w14:textId="77777777" w:rsidR="004A50F2" w:rsidRPr="006A612F" w:rsidRDefault="004A50F2" w:rsidP="00AA6ED0">
            <w:pPr>
              <w:pBdr>
                <w:top w:val="nil"/>
                <w:left w:val="nil"/>
                <w:bottom w:val="nil"/>
                <w:right w:val="nil"/>
                <w:between w:val="nil"/>
                <w:bar w:val="nil"/>
              </w:pBdr>
              <w:shd w:val="clear" w:color="auto" w:fill="FFFFFF" w:themeFill="background1"/>
              <w:ind w:left="-119" w:right="-180"/>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GA.</w:t>
            </w:r>
          </w:p>
        </w:tc>
        <w:tc>
          <w:tcPr>
            <w:tcW w:w="1197" w:type="dxa"/>
            <w:gridSpan w:val="2"/>
            <w:tcBorders>
              <w:top w:val="single" w:sz="4" w:space="0" w:color="000000" w:themeColor="text1"/>
            </w:tcBorders>
            <w:shd w:val="clear" w:color="auto" w:fill="D9D9D9" w:themeFill="background1" w:themeFillShade="D9"/>
          </w:tcPr>
          <w:p w14:paraId="723A372B" w14:textId="77777777" w:rsidR="004A50F2" w:rsidRPr="006A612F" w:rsidRDefault="004A50F2" w:rsidP="00AA6ED0">
            <w:pPr>
              <w:pBdr>
                <w:top w:val="nil"/>
                <w:left w:val="nil"/>
                <w:bottom w:val="nil"/>
                <w:right w:val="nil"/>
                <w:between w:val="nil"/>
                <w:bar w:val="nil"/>
              </w:pBdr>
              <w:shd w:val="clear" w:color="auto" w:fill="D9D9D9" w:themeFill="background1" w:themeFillShade="D9"/>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ILL.</w:t>
            </w:r>
          </w:p>
        </w:tc>
        <w:tc>
          <w:tcPr>
            <w:tcW w:w="1197" w:type="dxa"/>
            <w:gridSpan w:val="2"/>
            <w:tcBorders>
              <w:top w:val="single" w:sz="4" w:space="0" w:color="000000" w:themeColor="text1"/>
            </w:tcBorders>
            <w:shd w:val="clear" w:color="auto" w:fill="FFFFFF" w:themeFill="background1"/>
          </w:tcPr>
          <w:p w14:paraId="3E63524D"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PENN.</w:t>
            </w:r>
          </w:p>
        </w:tc>
        <w:tc>
          <w:tcPr>
            <w:tcW w:w="1197" w:type="dxa"/>
            <w:gridSpan w:val="2"/>
            <w:tcBorders>
              <w:top w:val="single" w:sz="4" w:space="0" w:color="000000" w:themeColor="text1"/>
            </w:tcBorders>
            <w:shd w:val="clear" w:color="auto" w:fill="D9D9D9" w:themeFill="background1" w:themeFillShade="D9"/>
          </w:tcPr>
          <w:p w14:paraId="03591A2F"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WASH.</w:t>
            </w:r>
          </w:p>
        </w:tc>
        <w:tc>
          <w:tcPr>
            <w:tcW w:w="1197" w:type="dxa"/>
            <w:gridSpan w:val="2"/>
            <w:tcBorders>
              <w:top w:val="single" w:sz="4" w:space="0" w:color="000000" w:themeColor="text1"/>
              <w:right w:val="single" w:sz="4" w:space="0" w:color="000000" w:themeColor="text1"/>
            </w:tcBorders>
            <w:shd w:val="clear" w:color="auto" w:fill="FFFFFF" w:themeFill="background1"/>
          </w:tcPr>
          <w:p w14:paraId="0C4E381F"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TOTAL</w:t>
            </w:r>
          </w:p>
        </w:tc>
      </w:tr>
      <w:tr w:rsidR="00732F34" w:rsidRPr="006A612F" w14:paraId="7AE5CAF0" w14:textId="77777777" w:rsidTr="00732F34">
        <w:trPr>
          <w:cnfStyle w:val="100000000000" w:firstRow="1" w:lastRow="0" w:firstColumn="0" w:lastColumn="0" w:oddVBand="0" w:evenVBand="0" w:oddHBand="0" w:evenHBand="0" w:firstRowFirstColumn="0" w:firstRowLastColumn="0" w:lastRowFirstColumn="0" w:lastRowLastColumn="0"/>
          <w:trHeight w:val="19"/>
          <w:tblHeader/>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350B8B8A"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p>
        </w:tc>
        <w:tc>
          <w:tcPr>
            <w:tcW w:w="630" w:type="dxa"/>
            <w:shd w:val="clear" w:color="auto" w:fill="FFFFFF" w:themeFill="background1"/>
          </w:tcPr>
          <w:p w14:paraId="6018C903" w14:textId="77777777" w:rsidR="00732F34"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17"/>
                <w:szCs w:val="17"/>
                <w:u w:color="000000"/>
                <w:bdr w:val="nil"/>
              </w:rPr>
            </w:pPr>
            <w:r w:rsidRPr="006A612F">
              <w:rPr>
                <w:rFonts w:eastAsia="Arial Unicode MS"/>
                <w:color w:val="000000"/>
                <w:sz w:val="17"/>
                <w:szCs w:val="17"/>
                <w:u w:color="000000"/>
                <w:bdr w:val="nil"/>
              </w:rPr>
              <w:t xml:space="preserve"># </w:t>
            </w:r>
          </w:p>
          <w:p w14:paraId="16F4FAD6" w14:textId="233FC296"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Doe cases</w:t>
            </w:r>
          </w:p>
        </w:tc>
        <w:tc>
          <w:tcPr>
            <w:tcW w:w="603" w:type="dxa"/>
            <w:shd w:val="clear" w:color="auto" w:fill="FFFFFF" w:themeFill="background1"/>
          </w:tcPr>
          <w:p w14:paraId="4F47A514"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 Doe cases</w:t>
            </w:r>
          </w:p>
        </w:tc>
        <w:tc>
          <w:tcPr>
            <w:tcW w:w="598" w:type="dxa"/>
            <w:shd w:val="clear" w:color="auto" w:fill="D9D9D9" w:themeFill="background1" w:themeFillShade="D9"/>
          </w:tcPr>
          <w:p w14:paraId="0018643A" w14:textId="77777777" w:rsidR="001A7D90"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17"/>
                <w:szCs w:val="17"/>
                <w:u w:color="000000"/>
                <w:bdr w:val="nil"/>
              </w:rPr>
            </w:pPr>
            <w:r w:rsidRPr="006A612F">
              <w:rPr>
                <w:rFonts w:eastAsia="Arial Unicode MS"/>
                <w:color w:val="000000"/>
                <w:sz w:val="17"/>
                <w:szCs w:val="17"/>
                <w:u w:color="000000"/>
                <w:bdr w:val="nil"/>
              </w:rPr>
              <w:t xml:space="preserve"># </w:t>
            </w:r>
          </w:p>
          <w:p w14:paraId="0A94D918" w14:textId="431462A0"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Doe cases</w:t>
            </w:r>
          </w:p>
        </w:tc>
        <w:tc>
          <w:tcPr>
            <w:tcW w:w="599" w:type="dxa"/>
            <w:shd w:val="clear" w:color="auto" w:fill="D9D9D9" w:themeFill="background1" w:themeFillShade="D9"/>
          </w:tcPr>
          <w:p w14:paraId="0B59259E"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 Doe cases</w:t>
            </w:r>
          </w:p>
        </w:tc>
        <w:tc>
          <w:tcPr>
            <w:tcW w:w="598" w:type="dxa"/>
            <w:shd w:val="clear" w:color="auto" w:fill="FFFFFF" w:themeFill="background1"/>
          </w:tcPr>
          <w:p w14:paraId="7604E534"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17"/>
                <w:szCs w:val="17"/>
                <w:u w:color="000000"/>
                <w:bdr w:val="nil"/>
              </w:rPr>
            </w:pPr>
            <w:r w:rsidRPr="006A612F">
              <w:rPr>
                <w:rFonts w:eastAsia="Arial Unicode MS"/>
                <w:color w:val="000000"/>
                <w:sz w:val="17"/>
                <w:szCs w:val="17"/>
                <w:u w:color="000000"/>
                <w:bdr w:val="nil"/>
              </w:rPr>
              <w:t xml:space="preserve"># </w:t>
            </w:r>
          </w:p>
          <w:p w14:paraId="34D9EEAF"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Doe cases</w:t>
            </w:r>
          </w:p>
        </w:tc>
        <w:tc>
          <w:tcPr>
            <w:tcW w:w="599" w:type="dxa"/>
            <w:shd w:val="clear" w:color="auto" w:fill="FFFFFF" w:themeFill="background1"/>
          </w:tcPr>
          <w:p w14:paraId="27A66D8B"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 Doe cases</w:t>
            </w:r>
          </w:p>
        </w:tc>
        <w:tc>
          <w:tcPr>
            <w:tcW w:w="598" w:type="dxa"/>
            <w:shd w:val="clear" w:color="auto" w:fill="D9D9D9" w:themeFill="background1" w:themeFillShade="D9"/>
          </w:tcPr>
          <w:p w14:paraId="25B03CC1" w14:textId="77777777" w:rsidR="001A7D90"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17"/>
                <w:szCs w:val="17"/>
                <w:u w:color="000000"/>
                <w:bdr w:val="nil"/>
              </w:rPr>
            </w:pPr>
            <w:r w:rsidRPr="006A612F">
              <w:rPr>
                <w:rFonts w:eastAsia="Arial Unicode MS"/>
                <w:color w:val="000000"/>
                <w:sz w:val="17"/>
                <w:szCs w:val="17"/>
                <w:u w:color="000000"/>
                <w:bdr w:val="nil"/>
              </w:rPr>
              <w:t xml:space="preserve"># </w:t>
            </w:r>
          </w:p>
          <w:p w14:paraId="36C5294A" w14:textId="7925440A"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Doe cases</w:t>
            </w:r>
          </w:p>
        </w:tc>
        <w:tc>
          <w:tcPr>
            <w:tcW w:w="599" w:type="dxa"/>
            <w:shd w:val="clear" w:color="auto" w:fill="D9D9D9" w:themeFill="background1" w:themeFillShade="D9"/>
          </w:tcPr>
          <w:p w14:paraId="44CDD3C6"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 Doe cases</w:t>
            </w:r>
          </w:p>
        </w:tc>
        <w:tc>
          <w:tcPr>
            <w:tcW w:w="598" w:type="dxa"/>
            <w:shd w:val="clear" w:color="auto" w:fill="FFFFFF" w:themeFill="background1"/>
          </w:tcPr>
          <w:p w14:paraId="6AE20223" w14:textId="77777777" w:rsidR="001A7D90"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color w:val="000000"/>
                <w:sz w:val="17"/>
                <w:szCs w:val="17"/>
                <w:u w:color="000000"/>
                <w:bdr w:val="nil"/>
              </w:rPr>
            </w:pPr>
            <w:r w:rsidRPr="006A612F">
              <w:rPr>
                <w:rFonts w:eastAsia="Arial Unicode MS"/>
                <w:color w:val="000000"/>
                <w:sz w:val="17"/>
                <w:szCs w:val="17"/>
                <w:u w:color="000000"/>
                <w:bdr w:val="nil"/>
              </w:rPr>
              <w:t xml:space="preserve"># </w:t>
            </w:r>
          </w:p>
          <w:p w14:paraId="27422F3E" w14:textId="46B00CA5"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Doe cases</w:t>
            </w:r>
          </w:p>
        </w:tc>
        <w:tc>
          <w:tcPr>
            <w:tcW w:w="599" w:type="dxa"/>
            <w:tcBorders>
              <w:right w:val="single" w:sz="4" w:space="0" w:color="000000" w:themeColor="text1"/>
            </w:tcBorders>
            <w:shd w:val="clear" w:color="auto" w:fill="FFFFFF" w:themeFill="background1"/>
          </w:tcPr>
          <w:p w14:paraId="311B2EF9" w14:textId="77777777" w:rsidR="004A50F2" w:rsidRPr="006A612F" w:rsidRDefault="004A50F2" w:rsidP="00AA6ED0">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 Doe cases</w:t>
            </w:r>
          </w:p>
        </w:tc>
      </w:tr>
      <w:tr w:rsidR="00732F34" w:rsidRPr="006A612F" w14:paraId="2119F0FC" w14:textId="77777777" w:rsidTr="00732F3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5CA75A23"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Copyright (Property Rights)</w:t>
            </w:r>
          </w:p>
        </w:tc>
        <w:tc>
          <w:tcPr>
            <w:tcW w:w="630" w:type="dxa"/>
            <w:shd w:val="clear" w:color="auto" w:fill="FFFFFF" w:themeFill="background1"/>
          </w:tcPr>
          <w:p w14:paraId="1B39E1C9"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0</w:t>
            </w:r>
          </w:p>
        </w:tc>
        <w:tc>
          <w:tcPr>
            <w:tcW w:w="603" w:type="dxa"/>
            <w:shd w:val="clear" w:color="auto" w:fill="FFFFFF" w:themeFill="background1"/>
          </w:tcPr>
          <w:p w14:paraId="1697932B"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0</w:t>
            </w:r>
          </w:p>
        </w:tc>
        <w:tc>
          <w:tcPr>
            <w:tcW w:w="598" w:type="dxa"/>
            <w:shd w:val="clear" w:color="auto" w:fill="D9D9D9" w:themeFill="background1" w:themeFillShade="D9"/>
          </w:tcPr>
          <w:p w14:paraId="4FF5A679"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156</w:t>
            </w:r>
          </w:p>
        </w:tc>
        <w:tc>
          <w:tcPr>
            <w:tcW w:w="599" w:type="dxa"/>
            <w:shd w:val="clear" w:color="auto" w:fill="D9D9D9" w:themeFill="background1" w:themeFillShade="D9"/>
          </w:tcPr>
          <w:p w14:paraId="1E003F3C" w14:textId="60C7C8C8"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25</w:t>
            </w:r>
          </w:p>
        </w:tc>
        <w:tc>
          <w:tcPr>
            <w:tcW w:w="598" w:type="dxa"/>
            <w:shd w:val="clear" w:color="auto" w:fill="FFFFFF" w:themeFill="background1"/>
          </w:tcPr>
          <w:p w14:paraId="0A869B05"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106</w:t>
            </w:r>
          </w:p>
        </w:tc>
        <w:tc>
          <w:tcPr>
            <w:tcW w:w="599" w:type="dxa"/>
            <w:shd w:val="clear" w:color="auto" w:fill="FFFFFF" w:themeFill="background1"/>
          </w:tcPr>
          <w:p w14:paraId="68F5C776" w14:textId="6B6E9B76"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22.27</w:t>
            </w:r>
          </w:p>
        </w:tc>
        <w:tc>
          <w:tcPr>
            <w:tcW w:w="598" w:type="dxa"/>
            <w:shd w:val="clear" w:color="auto" w:fill="D9D9D9" w:themeFill="background1" w:themeFillShade="D9"/>
          </w:tcPr>
          <w:p w14:paraId="37F1DFFF"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w:t>
            </w:r>
          </w:p>
        </w:tc>
        <w:tc>
          <w:tcPr>
            <w:tcW w:w="599" w:type="dxa"/>
            <w:shd w:val="clear" w:color="auto" w:fill="D9D9D9" w:themeFill="background1" w:themeFillShade="D9"/>
          </w:tcPr>
          <w:p w14:paraId="552B0337" w14:textId="0D4EF2E9"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0.71</w:t>
            </w:r>
          </w:p>
        </w:tc>
        <w:tc>
          <w:tcPr>
            <w:tcW w:w="598" w:type="dxa"/>
            <w:shd w:val="clear" w:color="auto" w:fill="FFFFFF" w:themeFill="background1"/>
          </w:tcPr>
          <w:p w14:paraId="6E273D0E"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263</w:t>
            </w:r>
          </w:p>
        </w:tc>
        <w:tc>
          <w:tcPr>
            <w:tcW w:w="599" w:type="dxa"/>
            <w:tcBorders>
              <w:right w:val="single" w:sz="4" w:space="0" w:color="000000" w:themeColor="text1"/>
            </w:tcBorders>
            <w:shd w:val="clear" w:color="auto" w:fill="FFFFFF" w:themeFill="background1"/>
          </w:tcPr>
          <w:p w14:paraId="725E2763" w14:textId="28C97DA2"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22.29</w:t>
            </w:r>
          </w:p>
        </w:tc>
      </w:tr>
      <w:tr w:rsidR="00732F34" w:rsidRPr="006A612F" w14:paraId="754E321E" w14:textId="77777777" w:rsidTr="00732F34">
        <w:trPr>
          <w:trHeight w:val="47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7B3EBC4D"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Civil Rights (non-specific)</w:t>
            </w:r>
          </w:p>
        </w:tc>
        <w:tc>
          <w:tcPr>
            <w:tcW w:w="630" w:type="dxa"/>
            <w:shd w:val="clear" w:color="auto" w:fill="FFFFFF" w:themeFill="background1"/>
          </w:tcPr>
          <w:p w14:paraId="30CABE20"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47</w:t>
            </w:r>
          </w:p>
        </w:tc>
        <w:tc>
          <w:tcPr>
            <w:tcW w:w="603" w:type="dxa"/>
            <w:shd w:val="clear" w:color="auto" w:fill="FFFFFF" w:themeFill="background1"/>
          </w:tcPr>
          <w:p w14:paraId="6CEC97AE" w14:textId="54E5710A"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18.73</w:t>
            </w:r>
          </w:p>
        </w:tc>
        <w:tc>
          <w:tcPr>
            <w:tcW w:w="598" w:type="dxa"/>
            <w:shd w:val="clear" w:color="auto" w:fill="D9D9D9" w:themeFill="background1" w:themeFillShade="D9"/>
          </w:tcPr>
          <w:p w14:paraId="4B83E80B"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35</w:t>
            </w:r>
          </w:p>
        </w:tc>
        <w:tc>
          <w:tcPr>
            <w:tcW w:w="599" w:type="dxa"/>
            <w:shd w:val="clear" w:color="auto" w:fill="D9D9D9" w:themeFill="background1" w:themeFillShade="D9"/>
          </w:tcPr>
          <w:p w14:paraId="1E69D553" w14:textId="7D26BC5A"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5.61</w:t>
            </w:r>
          </w:p>
        </w:tc>
        <w:tc>
          <w:tcPr>
            <w:tcW w:w="598" w:type="dxa"/>
            <w:shd w:val="clear" w:color="auto" w:fill="FFFFFF" w:themeFill="background1"/>
          </w:tcPr>
          <w:p w14:paraId="5D299722"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106</w:t>
            </w:r>
          </w:p>
        </w:tc>
        <w:tc>
          <w:tcPr>
            <w:tcW w:w="599" w:type="dxa"/>
            <w:shd w:val="clear" w:color="auto" w:fill="FFFFFF" w:themeFill="background1"/>
          </w:tcPr>
          <w:p w14:paraId="1F97E638" w14:textId="1DBE2979"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22.27</w:t>
            </w:r>
          </w:p>
        </w:tc>
        <w:tc>
          <w:tcPr>
            <w:tcW w:w="598" w:type="dxa"/>
            <w:shd w:val="clear" w:color="auto" w:fill="D9D9D9" w:themeFill="background1" w:themeFillShade="D9"/>
          </w:tcPr>
          <w:p w14:paraId="2167B748"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27</w:t>
            </w:r>
          </w:p>
        </w:tc>
        <w:tc>
          <w:tcPr>
            <w:tcW w:w="599" w:type="dxa"/>
            <w:shd w:val="clear" w:color="auto" w:fill="D9D9D9" w:themeFill="background1" w:themeFillShade="D9"/>
          </w:tcPr>
          <w:p w14:paraId="22EEFCD4" w14:textId="2349BC62"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19.28</w:t>
            </w:r>
          </w:p>
        </w:tc>
        <w:tc>
          <w:tcPr>
            <w:tcW w:w="598" w:type="dxa"/>
            <w:shd w:val="clear" w:color="auto" w:fill="FFFFFF" w:themeFill="background1"/>
          </w:tcPr>
          <w:p w14:paraId="45662948"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215</w:t>
            </w:r>
          </w:p>
        </w:tc>
        <w:tc>
          <w:tcPr>
            <w:tcW w:w="599" w:type="dxa"/>
            <w:tcBorders>
              <w:right w:val="single" w:sz="4" w:space="0" w:color="000000" w:themeColor="text1"/>
            </w:tcBorders>
            <w:shd w:val="clear" w:color="auto" w:fill="FFFFFF" w:themeFill="background1"/>
          </w:tcPr>
          <w:p w14:paraId="7B4A87F1" w14:textId="54CB5EC4"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18.22</w:t>
            </w:r>
          </w:p>
        </w:tc>
      </w:tr>
      <w:tr w:rsidR="00732F34" w:rsidRPr="006A612F" w14:paraId="61F7018C" w14:textId="77777777" w:rsidTr="00732F3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53E5959E"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 xml:space="preserve"> Personal Injury </w:t>
            </w:r>
          </w:p>
        </w:tc>
        <w:tc>
          <w:tcPr>
            <w:tcW w:w="630" w:type="dxa"/>
            <w:shd w:val="clear" w:color="auto" w:fill="FFFFFF" w:themeFill="background1"/>
          </w:tcPr>
          <w:p w14:paraId="29A9BDD2"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fldChar w:fldCharType="begin"/>
            </w:r>
            <w:r w:rsidRPr="006A612F">
              <w:rPr>
                <w:rFonts w:eastAsia="Arial Unicode MS"/>
                <w:color w:val="000000"/>
                <w:sz w:val="17"/>
                <w:szCs w:val="17"/>
                <w:u w:color="000000"/>
                <w:bdr w:val="nil"/>
              </w:rPr>
              <w:instrText xml:space="preserve"> =SUM(ABOVE) </w:instrText>
            </w:r>
            <w:r w:rsidRPr="006A612F">
              <w:rPr>
                <w:rFonts w:eastAsia="Arial Unicode MS"/>
                <w:color w:val="000000"/>
                <w:sz w:val="17"/>
                <w:szCs w:val="17"/>
                <w:u w:color="000000"/>
                <w:bdr w:val="nil"/>
              </w:rPr>
              <w:fldChar w:fldCharType="separate"/>
            </w:r>
            <w:r w:rsidRPr="006A612F">
              <w:rPr>
                <w:rFonts w:eastAsia="Arial Unicode MS"/>
                <w:noProof/>
                <w:color w:val="000000"/>
                <w:sz w:val="17"/>
                <w:szCs w:val="17"/>
                <w:u w:color="000000"/>
                <w:bdr w:val="nil"/>
              </w:rPr>
              <w:t>101</w:t>
            </w:r>
            <w:r w:rsidRPr="006A612F">
              <w:rPr>
                <w:rFonts w:eastAsia="Arial Unicode MS"/>
                <w:color w:val="000000"/>
                <w:sz w:val="17"/>
                <w:szCs w:val="17"/>
                <w:u w:color="000000"/>
                <w:bdr w:val="nil"/>
              </w:rPr>
              <w:fldChar w:fldCharType="end"/>
            </w:r>
          </w:p>
        </w:tc>
        <w:tc>
          <w:tcPr>
            <w:tcW w:w="603" w:type="dxa"/>
            <w:shd w:val="clear" w:color="auto" w:fill="FFFFFF" w:themeFill="background1"/>
          </w:tcPr>
          <w:p w14:paraId="6FE3D895" w14:textId="012E6786"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40</w:t>
            </w:r>
          </w:p>
        </w:tc>
        <w:tc>
          <w:tcPr>
            <w:tcW w:w="598" w:type="dxa"/>
            <w:shd w:val="clear" w:color="auto" w:fill="D9D9D9" w:themeFill="background1" w:themeFillShade="D9"/>
          </w:tcPr>
          <w:p w14:paraId="12F8CE48"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fldChar w:fldCharType="begin"/>
            </w:r>
            <w:r w:rsidRPr="006A612F">
              <w:rPr>
                <w:color w:val="000000"/>
                <w:sz w:val="17"/>
                <w:szCs w:val="17"/>
                <w:u w:color="000000"/>
                <w:bdr w:val="nil"/>
              </w:rPr>
              <w:instrText xml:space="preserve"> =SUM(ABOVE) </w:instrText>
            </w:r>
            <w:r w:rsidRPr="006A612F">
              <w:rPr>
                <w:color w:val="000000"/>
                <w:sz w:val="17"/>
                <w:szCs w:val="17"/>
                <w:u w:color="000000"/>
                <w:bdr w:val="nil"/>
              </w:rPr>
              <w:fldChar w:fldCharType="separate"/>
            </w:r>
            <w:r w:rsidRPr="006A612F">
              <w:rPr>
                <w:noProof/>
                <w:color w:val="000000"/>
                <w:sz w:val="17"/>
                <w:szCs w:val="17"/>
                <w:u w:color="000000"/>
                <w:bdr w:val="nil"/>
              </w:rPr>
              <w:t>5</w:t>
            </w:r>
            <w:r w:rsidRPr="006A612F">
              <w:rPr>
                <w:color w:val="000000"/>
                <w:sz w:val="17"/>
                <w:szCs w:val="17"/>
                <w:u w:color="000000"/>
                <w:bdr w:val="nil"/>
              </w:rPr>
              <w:fldChar w:fldCharType="end"/>
            </w:r>
          </w:p>
        </w:tc>
        <w:tc>
          <w:tcPr>
            <w:tcW w:w="599" w:type="dxa"/>
            <w:shd w:val="clear" w:color="auto" w:fill="D9D9D9" w:themeFill="background1" w:themeFillShade="D9"/>
          </w:tcPr>
          <w:p w14:paraId="6E0E6743" w14:textId="5214CD05"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0.80</w:t>
            </w:r>
          </w:p>
        </w:tc>
        <w:tc>
          <w:tcPr>
            <w:tcW w:w="598" w:type="dxa"/>
            <w:shd w:val="clear" w:color="auto" w:fill="FFFFFF" w:themeFill="background1"/>
          </w:tcPr>
          <w:p w14:paraId="399C5DA4"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fldChar w:fldCharType="begin"/>
            </w:r>
            <w:r w:rsidRPr="006A612F">
              <w:rPr>
                <w:sz w:val="17"/>
                <w:szCs w:val="17"/>
              </w:rPr>
              <w:instrText xml:space="preserve"> =SUM(ABOVE) </w:instrText>
            </w:r>
            <w:r w:rsidRPr="006A612F">
              <w:rPr>
                <w:sz w:val="17"/>
                <w:szCs w:val="17"/>
              </w:rPr>
              <w:fldChar w:fldCharType="separate"/>
            </w:r>
            <w:r w:rsidRPr="006A612F">
              <w:rPr>
                <w:noProof/>
                <w:sz w:val="17"/>
                <w:szCs w:val="17"/>
              </w:rPr>
              <w:t>63</w:t>
            </w:r>
            <w:r w:rsidRPr="006A612F">
              <w:rPr>
                <w:sz w:val="17"/>
                <w:szCs w:val="17"/>
              </w:rPr>
              <w:fldChar w:fldCharType="end"/>
            </w:r>
          </w:p>
        </w:tc>
        <w:tc>
          <w:tcPr>
            <w:tcW w:w="599" w:type="dxa"/>
            <w:shd w:val="clear" w:color="auto" w:fill="FFFFFF" w:themeFill="background1"/>
          </w:tcPr>
          <w:p w14:paraId="3EC1306C" w14:textId="600E401B"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13.23</w:t>
            </w:r>
          </w:p>
        </w:tc>
        <w:tc>
          <w:tcPr>
            <w:tcW w:w="598" w:type="dxa"/>
            <w:shd w:val="clear" w:color="auto" w:fill="D9D9D9" w:themeFill="background1" w:themeFillShade="D9"/>
          </w:tcPr>
          <w:p w14:paraId="146B82E4"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fldChar w:fldCharType="begin"/>
            </w:r>
            <w:r w:rsidRPr="006A612F">
              <w:rPr>
                <w:color w:val="000000"/>
                <w:sz w:val="17"/>
                <w:szCs w:val="17"/>
                <w:u w:color="000000"/>
                <w:bdr w:val="nil"/>
              </w:rPr>
              <w:instrText xml:space="preserve"> =SUM(ABOVE) </w:instrText>
            </w:r>
            <w:r w:rsidRPr="006A612F">
              <w:rPr>
                <w:color w:val="000000"/>
                <w:sz w:val="17"/>
                <w:szCs w:val="17"/>
                <w:u w:color="000000"/>
                <w:bdr w:val="nil"/>
              </w:rPr>
              <w:fldChar w:fldCharType="separate"/>
            </w:r>
            <w:r w:rsidRPr="006A612F">
              <w:rPr>
                <w:noProof/>
                <w:color w:val="000000"/>
                <w:sz w:val="17"/>
                <w:szCs w:val="17"/>
                <w:u w:color="000000"/>
                <w:bdr w:val="nil"/>
              </w:rPr>
              <w:t>32</w:t>
            </w:r>
            <w:r w:rsidRPr="006A612F">
              <w:rPr>
                <w:color w:val="000000"/>
                <w:sz w:val="17"/>
                <w:szCs w:val="17"/>
                <w:u w:color="000000"/>
                <w:bdr w:val="nil"/>
              </w:rPr>
              <w:fldChar w:fldCharType="end"/>
            </w:r>
          </w:p>
        </w:tc>
        <w:tc>
          <w:tcPr>
            <w:tcW w:w="599" w:type="dxa"/>
            <w:shd w:val="clear" w:color="auto" w:fill="D9D9D9" w:themeFill="background1" w:themeFillShade="D9"/>
          </w:tcPr>
          <w:p w14:paraId="7B892EA1" w14:textId="6E619D13"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22.86</w:t>
            </w:r>
          </w:p>
        </w:tc>
        <w:tc>
          <w:tcPr>
            <w:tcW w:w="598" w:type="dxa"/>
            <w:shd w:val="clear" w:color="auto" w:fill="FFFFFF" w:themeFill="background1"/>
          </w:tcPr>
          <w:p w14:paraId="58CED378"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fldChar w:fldCharType="begin"/>
            </w:r>
            <w:r w:rsidRPr="006A612F">
              <w:rPr>
                <w:color w:val="000000"/>
                <w:sz w:val="17"/>
                <w:szCs w:val="17"/>
                <w:u w:color="000000"/>
                <w:bdr w:val="nil"/>
              </w:rPr>
              <w:instrText xml:space="preserve"> =SUM(ABOVE) </w:instrText>
            </w:r>
            <w:r w:rsidRPr="006A612F">
              <w:rPr>
                <w:color w:val="000000"/>
                <w:sz w:val="17"/>
                <w:szCs w:val="17"/>
                <w:u w:color="000000"/>
                <w:bdr w:val="nil"/>
              </w:rPr>
              <w:fldChar w:fldCharType="separate"/>
            </w:r>
            <w:r w:rsidRPr="006A612F">
              <w:rPr>
                <w:noProof/>
                <w:color w:val="000000"/>
                <w:sz w:val="17"/>
                <w:szCs w:val="17"/>
                <w:u w:color="000000"/>
                <w:bdr w:val="nil"/>
              </w:rPr>
              <w:t>202</w:t>
            </w:r>
            <w:r w:rsidRPr="006A612F">
              <w:rPr>
                <w:color w:val="000000"/>
                <w:sz w:val="17"/>
                <w:szCs w:val="17"/>
                <w:u w:color="000000"/>
                <w:bdr w:val="nil"/>
              </w:rPr>
              <w:fldChar w:fldCharType="end"/>
            </w:r>
          </w:p>
        </w:tc>
        <w:tc>
          <w:tcPr>
            <w:tcW w:w="599" w:type="dxa"/>
            <w:tcBorders>
              <w:right w:val="single" w:sz="4" w:space="0" w:color="000000" w:themeColor="text1"/>
            </w:tcBorders>
            <w:shd w:val="clear" w:color="auto" w:fill="FFFFFF" w:themeFill="background1"/>
          </w:tcPr>
          <w:p w14:paraId="11937B89" w14:textId="18FF5741"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17.11</w:t>
            </w:r>
          </w:p>
        </w:tc>
      </w:tr>
      <w:tr w:rsidR="00732F34" w:rsidRPr="006A612F" w14:paraId="3CAF15D1" w14:textId="77777777" w:rsidTr="00732F34">
        <w:trPr>
          <w:trHeight w:val="498"/>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5C033C56"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Civil Rights (Prisoner Habeas Petition)</w:t>
            </w:r>
          </w:p>
        </w:tc>
        <w:tc>
          <w:tcPr>
            <w:tcW w:w="630" w:type="dxa"/>
            <w:shd w:val="clear" w:color="auto" w:fill="FFFFFF" w:themeFill="background1"/>
          </w:tcPr>
          <w:p w14:paraId="032E9F57"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40</w:t>
            </w:r>
          </w:p>
        </w:tc>
        <w:tc>
          <w:tcPr>
            <w:tcW w:w="603" w:type="dxa"/>
            <w:shd w:val="clear" w:color="auto" w:fill="FFFFFF" w:themeFill="background1"/>
          </w:tcPr>
          <w:p w14:paraId="2EA375E4" w14:textId="6C463FD1"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15.94</w:t>
            </w:r>
          </w:p>
        </w:tc>
        <w:tc>
          <w:tcPr>
            <w:tcW w:w="598" w:type="dxa"/>
            <w:shd w:val="clear" w:color="auto" w:fill="D9D9D9" w:themeFill="background1" w:themeFillShade="D9"/>
          </w:tcPr>
          <w:p w14:paraId="4FEE88E4"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116</w:t>
            </w:r>
          </w:p>
        </w:tc>
        <w:tc>
          <w:tcPr>
            <w:tcW w:w="599" w:type="dxa"/>
            <w:shd w:val="clear" w:color="auto" w:fill="D9D9D9" w:themeFill="background1" w:themeFillShade="D9"/>
          </w:tcPr>
          <w:p w14:paraId="0D06743D" w14:textId="030A0A44"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18.59</w:t>
            </w:r>
          </w:p>
        </w:tc>
        <w:tc>
          <w:tcPr>
            <w:tcW w:w="598" w:type="dxa"/>
            <w:shd w:val="clear" w:color="auto" w:fill="FFFFFF" w:themeFill="background1"/>
          </w:tcPr>
          <w:p w14:paraId="4BA600BB"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80</w:t>
            </w:r>
          </w:p>
        </w:tc>
        <w:tc>
          <w:tcPr>
            <w:tcW w:w="599" w:type="dxa"/>
            <w:shd w:val="clear" w:color="auto" w:fill="FFFFFF" w:themeFill="background1"/>
          </w:tcPr>
          <w:p w14:paraId="3A76E518" w14:textId="279A2871"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16.81</w:t>
            </w:r>
          </w:p>
        </w:tc>
        <w:tc>
          <w:tcPr>
            <w:tcW w:w="598" w:type="dxa"/>
            <w:shd w:val="clear" w:color="auto" w:fill="D9D9D9" w:themeFill="background1" w:themeFillShade="D9"/>
          </w:tcPr>
          <w:p w14:paraId="7E3F976A"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24</w:t>
            </w:r>
          </w:p>
        </w:tc>
        <w:tc>
          <w:tcPr>
            <w:tcW w:w="599" w:type="dxa"/>
            <w:shd w:val="clear" w:color="auto" w:fill="D9D9D9" w:themeFill="background1" w:themeFillShade="D9"/>
          </w:tcPr>
          <w:p w14:paraId="68A0CB92" w14:textId="31D3C4E2"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17.14</w:t>
            </w:r>
          </w:p>
        </w:tc>
        <w:tc>
          <w:tcPr>
            <w:tcW w:w="598" w:type="dxa"/>
            <w:shd w:val="clear" w:color="auto" w:fill="FFFFFF" w:themeFill="background1"/>
          </w:tcPr>
          <w:p w14:paraId="7BAE88D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158</w:t>
            </w:r>
          </w:p>
        </w:tc>
        <w:tc>
          <w:tcPr>
            <w:tcW w:w="599" w:type="dxa"/>
            <w:tcBorders>
              <w:right w:val="single" w:sz="4" w:space="0" w:color="000000" w:themeColor="text1"/>
            </w:tcBorders>
            <w:shd w:val="clear" w:color="auto" w:fill="FFFFFF" w:themeFill="background1"/>
          </w:tcPr>
          <w:p w14:paraId="71C5648B" w14:textId="16C3081F"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13.39</w:t>
            </w:r>
          </w:p>
        </w:tc>
      </w:tr>
      <w:tr w:rsidR="00732F34" w:rsidRPr="006A612F" w14:paraId="3D274238" w14:textId="77777777" w:rsidTr="00732F3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23E4CD5E"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Prison Conditions (Prisoner Suits)</w:t>
            </w:r>
          </w:p>
        </w:tc>
        <w:tc>
          <w:tcPr>
            <w:tcW w:w="630" w:type="dxa"/>
            <w:shd w:val="clear" w:color="auto" w:fill="FFFFFF" w:themeFill="background1"/>
          </w:tcPr>
          <w:p w14:paraId="1BA74BD8"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22</w:t>
            </w:r>
          </w:p>
        </w:tc>
        <w:tc>
          <w:tcPr>
            <w:tcW w:w="603" w:type="dxa"/>
            <w:shd w:val="clear" w:color="auto" w:fill="FFFFFF" w:themeFill="background1"/>
          </w:tcPr>
          <w:p w14:paraId="7C1555E3" w14:textId="5E0B2159"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8.76</w:t>
            </w:r>
          </w:p>
        </w:tc>
        <w:tc>
          <w:tcPr>
            <w:tcW w:w="598" w:type="dxa"/>
            <w:shd w:val="clear" w:color="auto" w:fill="D9D9D9" w:themeFill="background1" w:themeFillShade="D9"/>
          </w:tcPr>
          <w:p w14:paraId="598CDD0D"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237</w:t>
            </w:r>
          </w:p>
        </w:tc>
        <w:tc>
          <w:tcPr>
            <w:tcW w:w="599" w:type="dxa"/>
            <w:shd w:val="clear" w:color="auto" w:fill="D9D9D9" w:themeFill="background1" w:themeFillShade="D9"/>
          </w:tcPr>
          <w:p w14:paraId="0C0911AB" w14:textId="33389730"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37.98</w:t>
            </w:r>
          </w:p>
        </w:tc>
        <w:tc>
          <w:tcPr>
            <w:tcW w:w="598" w:type="dxa"/>
            <w:shd w:val="clear" w:color="auto" w:fill="FFFFFF" w:themeFill="background1"/>
          </w:tcPr>
          <w:p w14:paraId="52F78DB5"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62</w:t>
            </w:r>
          </w:p>
        </w:tc>
        <w:tc>
          <w:tcPr>
            <w:tcW w:w="599" w:type="dxa"/>
            <w:shd w:val="clear" w:color="auto" w:fill="FFFFFF" w:themeFill="background1"/>
          </w:tcPr>
          <w:p w14:paraId="7E04489E" w14:textId="3799F008"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13.03</w:t>
            </w:r>
          </w:p>
        </w:tc>
        <w:tc>
          <w:tcPr>
            <w:tcW w:w="598" w:type="dxa"/>
            <w:shd w:val="clear" w:color="auto" w:fill="D9D9D9" w:themeFill="background1" w:themeFillShade="D9"/>
          </w:tcPr>
          <w:p w14:paraId="0562DCDF"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4</w:t>
            </w:r>
          </w:p>
        </w:tc>
        <w:tc>
          <w:tcPr>
            <w:tcW w:w="599" w:type="dxa"/>
            <w:shd w:val="clear" w:color="auto" w:fill="D9D9D9" w:themeFill="background1" w:themeFillShade="D9"/>
          </w:tcPr>
          <w:p w14:paraId="3CC01A13" w14:textId="2434E9FF"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2.86</w:t>
            </w:r>
          </w:p>
        </w:tc>
        <w:tc>
          <w:tcPr>
            <w:tcW w:w="598" w:type="dxa"/>
            <w:shd w:val="clear" w:color="auto" w:fill="FFFFFF" w:themeFill="background1"/>
          </w:tcPr>
          <w:p w14:paraId="30B5142F"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115</w:t>
            </w:r>
          </w:p>
        </w:tc>
        <w:tc>
          <w:tcPr>
            <w:tcW w:w="599" w:type="dxa"/>
            <w:tcBorders>
              <w:right w:val="single" w:sz="4" w:space="0" w:color="000000" w:themeColor="text1"/>
            </w:tcBorders>
            <w:shd w:val="clear" w:color="auto" w:fill="FFFFFF" w:themeFill="background1"/>
          </w:tcPr>
          <w:p w14:paraId="2DD41B47" w14:textId="531B46E1"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9.75</w:t>
            </w:r>
          </w:p>
        </w:tc>
      </w:tr>
      <w:tr w:rsidR="00732F34" w:rsidRPr="006A612F" w14:paraId="370A10C6" w14:textId="77777777" w:rsidTr="00732F34">
        <w:trPr>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26242680"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Trademark (Property Rights)</w:t>
            </w:r>
          </w:p>
        </w:tc>
        <w:tc>
          <w:tcPr>
            <w:tcW w:w="630" w:type="dxa"/>
            <w:shd w:val="clear" w:color="auto" w:fill="FFFFFF" w:themeFill="background1"/>
          </w:tcPr>
          <w:p w14:paraId="53E5D344"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1</w:t>
            </w:r>
          </w:p>
        </w:tc>
        <w:tc>
          <w:tcPr>
            <w:tcW w:w="603" w:type="dxa"/>
            <w:shd w:val="clear" w:color="auto" w:fill="FFFFFF" w:themeFill="background1"/>
          </w:tcPr>
          <w:p w14:paraId="32E6BE95" w14:textId="6C0B326A"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0.40</w:t>
            </w:r>
          </w:p>
        </w:tc>
        <w:tc>
          <w:tcPr>
            <w:tcW w:w="598" w:type="dxa"/>
            <w:shd w:val="clear" w:color="auto" w:fill="D9D9D9" w:themeFill="background1" w:themeFillShade="D9"/>
          </w:tcPr>
          <w:p w14:paraId="592A1CAA"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39</w:t>
            </w:r>
          </w:p>
        </w:tc>
        <w:tc>
          <w:tcPr>
            <w:tcW w:w="599" w:type="dxa"/>
            <w:shd w:val="clear" w:color="auto" w:fill="D9D9D9" w:themeFill="background1" w:themeFillShade="D9"/>
          </w:tcPr>
          <w:p w14:paraId="3F9A8AFC" w14:textId="1D0CE708"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6.25</w:t>
            </w:r>
          </w:p>
        </w:tc>
        <w:tc>
          <w:tcPr>
            <w:tcW w:w="598" w:type="dxa"/>
            <w:shd w:val="clear" w:color="auto" w:fill="FFFFFF" w:themeFill="background1"/>
          </w:tcPr>
          <w:p w14:paraId="26D2CE99"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0</w:t>
            </w:r>
          </w:p>
        </w:tc>
        <w:tc>
          <w:tcPr>
            <w:tcW w:w="599" w:type="dxa"/>
            <w:shd w:val="clear" w:color="auto" w:fill="FFFFFF" w:themeFill="background1"/>
          </w:tcPr>
          <w:p w14:paraId="004C9063"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0</w:t>
            </w:r>
          </w:p>
        </w:tc>
        <w:tc>
          <w:tcPr>
            <w:tcW w:w="598" w:type="dxa"/>
            <w:shd w:val="clear" w:color="auto" w:fill="D9D9D9" w:themeFill="background1" w:themeFillShade="D9"/>
          </w:tcPr>
          <w:p w14:paraId="144BE069"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w:t>
            </w:r>
          </w:p>
        </w:tc>
        <w:tc>
          <w:tcPr>
            <w:tcW w:w="599" w:type="dxa"/>
            <w:shd w:val="clear" w:color="auto" w:fill="D9D9D9" w:themeFill="background1" w:themeFillShade="D9"/>
          </w:tcPr>
          <w:p w14:paraId="3DECE9B2" w14:textId="1D019196"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1.43</w:t>
            </w:r>
          </w:p>
        </w:tc>
        <w:tc>
          <w:tcPr>
            <w:tcW w:w="598" w:type="dxa"/>
            <w:shd w:val="clear" w:color="auto" w:fill="FFFFFF" w:themeFill="background1"/>
          </w:tcPr>
          <w:p w14:paraId="44CE39C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42</w:t>
            </w:r>
          </w:p>
        </w:tc>
        <w:tc>
          <w:tcPr>
            <w:tcW w:w="599" w:type="dxa"/>
            <w:tcBorders>
              <w:right w:val="single" w:sz="4" w:space="0" w:color="000000" w:themeColor="text1"/>
            </w:tcBorders>
            <w:shd w:val="clear" w:color="auto" w:fill="FFFFFF" w:themeFill="background1"/>
          </w:tcPr>
          <w:p w14:paraId="368C14E3" w14:textId="587B19BA"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3.56</w:t>
            </w:r>
          </w:p>
        </w:tc>
      </w:tr>
      <w:tr w:rsidR="00732F34" w:rsidRPr="006A612F" w14:paraId="15193464" w14:textId="77777777" w:rsidTr="00732F3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18323A46"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Contract (Insurance)</w:t>
            </w:r>
          </w:p>
        </w:tc>
        <w:tc>
          <w:tcPr>
            <w:tcW w:w="630" w:type="dxa"/>
            <w:shd w:val="clear" w:color="auto" w:fill="FFFFFF" w:themeFill="background1"/>
          </w:tcPr>
          <w:p w14:paraId="59F247B3"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7</w:t>
            </w:r>
          </w:p>
        </w:tc>
        <w:tc>
          <w:tcPr>
            <w:tcW w:w="603" w:type="dxa"/>
            <w:shd w:val="clear" w:color="auto" w:fill="FFFFFF" w:themeFill="background1"/>
          </w:tcPr>
          <w:p w14:paraId="3EB587AD" w14:textId="0499F99B"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2.79</w:t>
            </w:r>
          </w:p>
        </w:tc>
        <w:tc>
          <w:tcPr>
            <w:tcW w:w="598" w:type="dxa"/>
            <w:shd w:val="clear" w:color="auto" w:fill="D9D9D9" w:themeFill="background1" w:themeFillShade="D9"/>
          </w:tcPr>
          <w:p w14:paraId="5522D608"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w:t>
            </w:r>
          </w:p>
        </w:tc>
        <w:tc>
          <w:tcPr>
            <w:tcW w:w="599" w:type="dxa"/>
            <w:shd w:val="clear" w:color="auto" w:fill="D9D9D9" w:themeFill="background1" w:themeFillShade="D9"/>
          </w:tcPr>
          <w:p w14:paraId="3479D71C" w14:textId="1307D92D"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0.16</w:t>
            </w:r>
          </w:p>
        </w:tc>
        <w:tc>
          <w:tcPr>
            <w:tcW w:w="598" w:type="dxa"/>
            <w:shd w:val="clear" w:color="auto" w:fill="FFFFFF" w:themeFill="background1"/>
          </w:tcPr>
          <w:p w14:paraId="413E1DB8"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3</w:t>
            </w:r>
          </w:p>
        </w:tc>
        <w:tc>
          <w:tcPr>
            <w:tcW w:w="599" w:type="dxa"/>
            <w:shd w:val="clear" w:color="auto" w:fill="FFFFFF" w:themeFill="background1"/>
          </w:tcPr>
          <w:p w14:paraId="0706FFCD" w14:textId="42B512AB"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0.63</w:t>
            </w:r>
          </w:p>
        </w:tc>
        <w:tc>
          <w:tcPr>
            <w:tcW w:w="598" w:type="dxa"/>
            <w:shd w:val="clear" w:color="auto" w:fill="D9D9D9" w:themeFill="background1" w:themeFillShade="D9"/>
          </w:tcPr>
          <w:p w14:paraId="32901ACA"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18</w:t>
            </w:r>
          </w:p>
        </w:tc>
        <w:tc>
          <w:tcPr>
            <w:tcW w:w="599" w:type="dxa"/>
            <w:shd w:val="clear" w:color="auto" w:fill="D9D9D9" w:themeFill="background1" w:themeFillShade="D9"/>
          </w:tcPr>
          <w:p w14:paraId="5D607D84" w14:textId="603AF8F0"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12.86</w:t>
            </w:r>
          </w:p>
        </w:tc>
        <w:tc>
          <w:tcPr>
            <w:tcW w:w="598" w:type="dxa"/>
            <w:shd w:val="clear" w:color="auto" w:fill="FFFFFF" w:themeFill="background1"/>
          </w:tcPr>
          <w:p w14:paraId="59BC0B64"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29</w:t>
            </w:r>
          </w:p>
        </w:tc>
        <w:tc>
          <w:tcPr>
            <w:tcW w:w="599" w:type="dxa"/>
            <w:tcBorders>
              <w:right w:val="single" w:sz="4" w:space="0" w:color="000000" w:themeColor="text1"/>
            </w:tcBorders>
            <w:shd w:val="clear" w:color="auto" w:fill="FFFFFF" w:themeFill="background1"/>
          </w:tcPr>
          <w:p w14:paraId="1E0DDE63" w14:textId="0596D54E"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2.46</w:t>
            </w:r>
          </w:p>
        </w:tc>
      </w:tr>
      <w:tr w:rsidR="00732F34" w:rsidRPr="006A612F" w14:paraId="43E35E1E" w14:textId="77777777" w:rsidTr="00732F34">
        <w:trPr>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02FB8B31"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Labor (Fair Labor Standards Act)</w:t>
            </w:r>
          </w:p>
        </w:tc>
        <w:tc>
          <w:tcPr>
            <w:tcW w:w="630" w:type="dxa"/>
            <w:shd w:val="clear" w:color="auto" w:fill="FFFFFF" w:themeFill="background1"/>
          </w:tcPr>
          <w:p w14:paraId="07178662"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1</w:t>
            </w:r>
          </w:p>
        </w:tc>
        <w:tc>
          <w:tcPr>
            <w:tcW w:w="603" w:type="dxa"/>
            <w:shd w:val="clear" w:color="auto" w:fill="FFFFFF" w:themeFill="background1"/>
          </w:tcPr>
          <w:p w14:paraId="2C8B1E32" w14:textId="220974C5"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0.40</w:t>
            </w:r>
          </w:p>
        </w:tc>
        <w:tc>
          <w:tcPr>
            <w:tcW w:w="598" w:type="dxa"/>
            <w:shd w:val="clear" w:color="auto" w:fill="D9D9D9" w:themeFill="background1" w:themeFillShade="D9"/>
          </w:tcPr>
          <w:p w14:paraId="70121E4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w:t>
            </w:r>
          </w:p>
        </w:tc>
        <w:tc>
          <w:tcPr>
            <w:tcW w:w="599" w:type="dxa"/>
            <w:shd w:val="clear" w:color="auto" w:fill="D9D9D9" w:themeFill="background1" w:themeFillShade="D9"/>
          </w:tcPr>
          <w:p w14:paraId="022138C5"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w:t>
            </w:r>
          </w:p>
        </w:tc>
        <w:tc>
          <w:tcPr>
            <w:tcW w:w="598" w:type="dxa"/>
            <w:shd w:val="clear" w:color="auto" w:fill="FFFFFF" w:themeFill="background1"/>
          </w:tcPr>
          <w:p w14:paraId="4F8B8FB1"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15</w:t>
            </w:r>
          </w:p>
        </w:tc>
        <w:tc>
          <w:tcPr>
            <w:tcW w:w="599" w:type="dxa"/>
            <w:shd w:val="clear" w:color="auto" w:fill="FFFFFF" w:themeFill="background1"/>
          </w:tcPr>
          <w:p w14:paraId="38146700" w14:textId="1F5CB5BF"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3.15</w:t>
            </w:r>
          </w:p>
        </w:tc>
        <w:tc>
          <w:tcPr>
            <w:tcW w:w="598" w:type="dxa"/>
            <w:shd w:val="clear" w:color="auto" w:fill="D9D9D9" w:themeFill="background1" w:themeFillShade="D9"/>
          </w:tcPr>
          <w:p w14:paraId="01C0327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w:t>
            </w:r>
          </w:p>
        </w:tc>
        <w:tc>
          <w:tcPr>
            <w:tcW w:w="599" w:type="dxa"/>
            <w:shd w:val="clear" w:color="auto" w:fill="D9D9D9" w:themeFill="background1" w:themeFillShade="D9"/>
          </w:tcPr>
          <w:p w14:paraId="455D7D76"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w:t>
            </w:r>
          </w:p>
        </w:tc>
        <w:tc>
          <w:tcPr>
            <w:tcW w:w="598" w:type="dxa"/>
            <w:shd w:val="clear" w:color="auto" w:fill="FFFFFF" w:themeFill="background1"/>
          </w:tcPr>
          <w:p w14:paraId="2EA2FD79"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16</w:t>
            </w:r>
          </w:p>
        </w:tc>
        <w:tc>
          <w:tcPr>
            <w:tcW w:w="599" w:type="dxa"/>
            <w:tcBorders>
              <w:right w:val="single" w:sz="4" w:space="0" w:color="000000" w:themeColor="text1"/>
            </w:tcBorders>
            <w:shd w:val="clear" w:color="auto" w:fill="FFFFFF" w:themeFill="background1"/>
          </w:tcPr>
          <w:p w14:paraId="3DE2E120" w14:textId="0681D7EC"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1.4</w:t>
            </w:r>
          </w:p>
        </w:tc>
      </w:tr>
      <w:tr w:rsidR="00732F34" w:rsidRPr="006A612F" w14:paraId="0755D881" w14:textId="77777777" w:rsidTr="00732F3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049E8868"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Contract (other)</w:t>
            </w:r>
          </w:p>
        </w:tc>
        <w:tc>
          <w:tcPr>
            <w:tcW w:w="630" w:type="dxa"/>
            <w:shd w:val="clear" w:color="auto" w:fill="FFFFFF" w:themeFill="background1"/>
          </w:tcPr>
          <w:p w14:paraId="50E3B9A6"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2</w:t>
            </w:r>
          </w:p>
        </w:tc>
        <w:tc>
          <w:tcPr>
            <w:tcW w:w="603" w:type="dxa"/>
            <w:shd w:val="clear" w:color="auto" w:fill="FFFFFF" w:themeFill="background1"/>
          </w:tcPr>
          <w:p w14:paraId="4B55F42A" w14:textId="5FD16BA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0.80</w:t>
            </w:r>
          </w:p>
        </w:tc>
        <w:tc>
          <w:tcPr>
            <w:tcW w:w="598" w:type="dxa"/>
            <w:shd w:val="clear" w:color="auto" w:fill="D9D9D9" w:themeFill="background1" w:themeFillShade="D9"/>
          </w:tcPr>
          <w:p w14:paraId="3B84C773"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w:t>
            </w:r>
          </w:p>
        </w:tc>
        <w:tc>
          <w:tcPr>
            <w:tcW w:w="599" w:type="dxa"/>
            <w:shd w:val="clear" w:color="auto" w:fill="D9D9D9" w:themeFill="background1" w:themeFillShade="D9"/>
          </w:tcPr>
          <w:p w14:paraId="6FE45899" w14:textId="2F2360D3"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0.32</w:t>
            </w:r>
          </w:p>
        </w:tc>
        <w:tc>
          <w:tcPr>
            <w:tcW w:w="598" w:type="dxa"/>
            <w:shd w:val="clear" w:color="auto" w:fill="FFFFFF" w:themeFill="background1"/>
          </w:tcPr>
          <w:p w14:paraId="2627CCE9"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6</w:t>
            </w:r>
          </w:p>
        </w:tc>
        <w:tc>
          <w:tcPr>
            <w:tcW w:w="599" w:type="dxa"/>
            <w:shd w:val="clear" w:color="auto" w:fill="FFFFFF" w:themeFill="background1"/>
          </w:tcPr>
          <w:p w14:paraId="5FECCCB3" w14:textId="028765E5"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1.26</w:t>
            </w:r>
          </w:p>
        </w:tc>
        <w:tc>
          <w:tcPr>
            <w:tcW w:w="598" w:type="dxa"/>
            <w:shd w:val="clear" w:color="auto" w:fill="D9D9D9" w:themeFill="background1" w:themeFillShade="D9"/>
          </w:tcPr>
          <w:p w14:paraId="1A75E8DD"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3</w:t>
            </w:r>
          </w:p>
        </w:tc>
        <w:tc>
          <w:tcPr>
            <w:tcW w:w="599" w:type="dxa"/>
            <w:shd w:val="clear" w:color="auto" w:fill="D9D9D9" w:themeFill="background1" w:themeFillShade="D9"/>
          </w:tcPr>
          <w:p w14:paraId="38732719" w14:textId="516CFA09"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2.14</w:t>
            </w:r>
          </w:p>
        </w:tc>
        <w:tc>
          <w:tcPr>
            <w:tcW w:w="598" w:type="dxa"/>
            <w:shd w:val="clear" w:color="auto" w:fill="FFFFFF" w:themeFill="background1"/>
          </w:tcPr>
          <w:p w14:paraId="34AFC87E"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13</w:t>
            </w:r>
          </w:p>
        </w:tc>
        <w:tc>
          <w:tcPr>
            <w:tcW w:w="599" w:type="dxa"/>
            <w:tcBorders>
              <w:right w:val="single" w:sz="4" w:space="0" w:color="000000" w:themeColor="text1"/>
            </w:tcBorders>
            <w:shd w:val="clear" w:color="auto" w:fill="FFFFFF" w:themeFill="background1"/>
          </w:tcPr>
          <w:p w14:paraId="56AB5E84" w14:textId="3E453042"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1.10</w:t>
            </w:r>
          </w:p>
        </w:tc>
      </w:tr>
      <w:tr w:rsidR="00732F34" w:rsidRPr="006A612F" w14:paraId="6B1A8A83" w14:textId="77777777" w:rsidTr="00732F34">
        <w:trPr>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035F8B95" w14:textId="3A6B76C0" w:rsidR="004A50F2" w:rsidRPr="006A612F" w:rsidRDefault="00BF278E"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w:t>
            </w:r>
            <w:r w:rsidR="004A50F2" w:rsidRPr="006A612F">
              <w:rPr>
                <w:rFonts w:eastAsia="Arial Unicode MS"/>
                <w:color w:val="000000"/>
                <w:sz w:val="17"/>
                <w:szCs w:val="17"/>
                <w:u w:color="000000"/>
                <w:bdr w:val="nil"/>
              </w:rPr>
              <w:t>Other</w:t>
            </w:r>
            <w:r w:rsidRPr="006A612F">
              <w:rPr>
                <w:rFonts w:eastAsia="Arial Unicode MS"/>
                <w:color w:val="000000"/>
                <w:sz w:val="17"/>
                <w:szCs w:val="17"/>
                <w:u w:color="000000"/>
                <w:bdr w:val="nil"/>
              </w:rPr>
              <w:t>”</w:t>
            </w:r>
            <w:r w:rsidR="004A50F2" w:rsidRPr="006A612F">
              <w:rPr>
                <w:rFonts w:eastAsia="Arial Unicode MS"/>
                <w:color w:val="000000"/>
                <w:sz w:val="17"/>
                <w:szCs w:val="17"/>
                <w:u w:color="000000"/>
                <w:bdr w:val="nil"/>
              </w:rPr>
              <w:t xml:space="preserve"> Statutory Action</w:t>
            </w:r>
          </w:p>
        </w:tc>
        <w:tc>
          <w:tcPr>
            <w:tcW w:w="630" w:type="dxa"/>
            <w:shd w:val="clear" w:color="auto" w:fill="FFFFFF" w:themeFill="background1"/>
          </w:tcPr>
          <w:p w14:paraId="037A87E2"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3</w:t>
            </w:r>
          </w:p>
        </w:tc>
        <w:tc>
          <w:tcPr>
            <w:tcW w:w="603" w:type="dxa"/>
            <w:shd w:val="clear" w:color="auto" w:fill="FFFFFF" w:themeFill="background1"/>
          </w:tcPr>
          <w:p w14:paraId="0EBB97C9" w14:textId="001BC774"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1.20</w:t>
            </w:r>
          </w:p>
        </w:tc>
        <w:tc>
          <w:tcPr>
            <w:tcW w:w="598" w:type="dxa"/>
            <w:shd w:val="clear" w:color="auto" w:fill="D9D9D9" w:themeFill="background1" w:themeFillShade="D9"/>
          </w:tcPr>
          <w:p w14:paraId="4DBAB3B7"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5</w:t>
            </w:r>
          </w:p>
        </w:tc>
        <w:tc>
          <w:tcPr>
            <w:tcW w:w="599" w:type="dxa"/>
            <w:shd w:val="clear" w:color="auto" w:fill="D9D9D9" w:themeFill="background1" w:themeFillShade="D9"/>
          </w:tcPr>
          <w:p w14:paraId="0E8D4814" w14:textId="7B465172"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0.8</w:t>
            </w:r>
          </w:p>
        </w:tc>
        <w:tc>
          <w:tcPr>
            <w:tcW w:w="598" w:type="dxa"/>
            <w:shd w:val="clear" w:color="auto" w:fill="FFFFFF" w:themeFill="background1"/>
          </w:tcPr>
          <w:p w14:paraId="5D12DD83"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4</w:t>
            </w:r>
          </w:p>
        </w:tc>
        <w:tc>
          <w:tcPr>
            <w:tcW w:w="599" w:type="dxa"/>
            <w:shd w:val="clear" w:color="auto" w:fill="FFFFFF" w:themeFill="background1"/>
          </w:tcPr>
          <w:p w14:paraId="37C8D7E9" w14:textId="3DA1C821"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r w:rsidRPr="006A612F">
              <w:rPr>
                <w:sz w:val="17"/>
                <w:szCs w:val="17"/>
              </w:rPr>
              <w:t>0.84</w:t>
            </w:r>
          </w:p>
        </w:tc>
        <w:tc>
          <w:tcPr>
            <w:tcW w:w="598" w:type="dxa"/>
            <w:shd w:val="clear" w:color="auto" w:fill="D9D9D9" w:themeFill="background1" w:themeFillShade="D9"/>
          </w:tcPr>
          <w:p w14:paraId="2F0FE002"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w:t>
            </w:r>
          </w:p>
        </w:tc>
        <w:tc>
          <w:tcPr>
            <w:tcW w:w="599" w:type="dxa"/>
            <w:shd w:val="clear" w:color="auto" w:fill="D9D9D9" w:themeFill="background1" w:themeFillShade="D9"/>
          </w:tcPr>
          <w:p w14:paraId="0F1188D1" w14:textId="5CC105DB"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0.71</w:t>
            </w:r>
          </w:p>
        </w:tc>
        <w:tc>
          <w:tcPr>
            <w:tcW w:w="598" w:type="dxa"/>
            <w:shd w:val="clear" w:color="auto" w:fill="FFFFFF" w:themeFill="background1"/>
          </w:tcPr>
          <w:p w14:paraId="2EBA7678"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13</w:t>
            </w:r>
          </w:p>
        </w:tc>
        <w:tc>
          <w:tcPr>
            <w:tcW w:w="599" w:type="dxa"/>
            <w:tcBorders>
              <w:right w:val="single" w:sz="4" w:space="0" w:color="000000" w:themeColor="text1"/>
            </w:tcBorders>
            <w:shd w:val="clear" w:color="auto" w:fill="FFFFFF" w:themeFill="background1"/>
          </w:tcPr>
          <w:p w14:paraId="425FAA71" w14:textId="7F591E4D"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1.10</w:t>
            </w:r>
          </w:p>
        </w:tc>
      </w:tr>
      <w:tr w:rsidR="00732F34" w:rsidRPr="006A612F" w14:paraId="7A0E3A2B" w14:textId="77777777" w:rsidTr="00732F3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tcBorders>
            <w:shd w:val="clear" w:color="auto" w:fill="D9D9D9" w:themeFill="background1" w:themeFillShade="D9"/>
          </w:tcPr>
          <w:p w14:paraId="7440BF25"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All other Doe cases</w:t>
            </w:r>
          </w:p>
        </w:tc>
        <w:tc>
          <w:tcPr>
            <w:tcW w:w="630" w:type="dxa"/>
            <w:shd w:val="clear" w:color="auto" w:fill="FFFFFF" w:themeFill="background1"/>
          </w:tcPr>
          <w:p w14:paraId="72F1DC82"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27</w:t>
            </w:r>
          </w:p>
        </w:tc>
        <w:tc>
          <w:tcPr>
            <w:tcW w:w="603" w:type="dxa"/>
            <w:shd w:val="clear" w:color="auto" w:fill="FFFFFF" w:themeFill="background1"/>
          </w:tcPr>
          <w:p w14:paraId="43A560FC" w14:textId="44BF6231"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t>10.75</w:t>
            </w:r>
          </w:p>
        </w:tc>
        <w:tc>
          <w:tcPr>
            <w:tcW w:w="598" w:type="dxa"/>
            <w:shd w:val="clear" w:color="auto" w:fill="D9D9D9" w:themeFill="background1" w:themeFillShade="D9"/>
          </w:tcPr>
          <w:p w14:paraId="3A8683D5"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28</w:t>
            </w:r>
          </w:p>
        </w:tc>
        <w:tc>
          <w:tcPr>
            <w:tcW w:w="599" w:type="dxa"/>
            <w:shd w:val="clear" w:color="auto" w:fill="D9D9D9" w:themeFill="background1" w:themeFillShade="D9"/>
          </w:tcPr>
          <w:p w14:paraId="557C4584" w14:textId="53AF779A"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4.49</w:t>
            </w:r>
          </w:p>
        </w:tc>
        <w:tc>
          <w:tcPr>
            <w:tcW w:w="598" w:type="dxa"/>
            <w:shd w:val="clear" w:color="auto" w:fill="FFFFFF" w:themeFill="background1"/>
          </w:tcPr>
          <w:p w14:paraId="1B83A934" w14:textId="77777777"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rFonts w:eastAsia="Arial Unicode MS"/>
                <w:color w:val="000000"/>
                <w:sz w:val="17"/>
                <w:szCs w:val="17"/>
                <w:u w:color="000000"/>
              </w:rPr>
              <w:t>31</w:t>
            </w:r>
          </w:p>
        </w:tc>
        <w:tc>
          <w:tcPr>
            <w:tcW w:w="599" w:type="dxa"/>
            <w:shd w:val="clear" w:color="auto" w:fill="FFFFFF" w:themeFill="background1"/>
          </w:tcPr>
          <w:p w14:paraId="24FEF7F9" w14:textId="03AA76F2" w:rsidR="004A50F2" w:rsidRPr="006A612F" w:rsidRDefault="004A50F2" w:rsidP="00AA6ED0">
            <w:pPr>
              <w:jc w:val="center"/>
              <w:cnfStyle w:val="000000100000" w:firstRow="0" w:lastRow="0" w:firstColumn="0" w:lastColumn="0" w:oddVBand="0" w:evenVBand="0" w:oddHBand="1" w:evenHBand="0" w:firstRowFirstColumn="0" w:firstRowLastColumn="0" w:lastRowFirstColumn="0" w:lastRowLastColumn="0"/>
              <w:rPr>
                <w:sz w:val="17"/>
                <w:szCs w:val="17"/>
              </w:rPr>
            </w:pPr>
            <w:r w:rsidRPr="006A612F">
              <w:rPr>
                <w:sz w:val="17"/>
                <w:szCs w:val="17"/>
              </w:rPr>
              <w:t>7.77</w:t>
            </w:r>
          </w:p>
        </w:tc>
        <w:tc>
          <w:tcPr>
            <w:tcW w:w="598" w:type="dxa"/>
            <w:shd w:val="clear" w:color="auto" w:fill="D9D9D9" w:themeFill="background1" w:themeFillShade="D9"/>
          </w:tcPr>
          <w:p w14:paraId="647BDB41"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rFonts w:eastAsia="Arial Unicode MS"/>
                <w:color w:val="000000"/>
                <w:sz w:val="17"/>
                <w:szCs w:val="17"/>
                <w:u w:color="000000"/>
                <w:bdr w:val="nil"/>
              </w:rPr>
              <w:t>28</w:t>
            </w:r>
          </w:p>
        </w:tc>
        <w:tc>
          <w:tcPr>
            <w:tcW w:w="599" w:type="dxa"/>
            <w:shd w:val="clear" w:color="auto" w:fill="D9D9D9" w:themeFill="background1" w:themeFillShade="D9"/>
          </w:tcPr>
          <w:p w14:paraId="7E97379B" w14:textId="740A938C"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20</w:t>
            </w:r>
          </w:p>
        </w:tc>
        <w:tc>
          <w:tcPr>
            <w:tcW w:w="598" w:type="dxa"/>
            <w:shd w:val="clear" w:color="auto" w:fill="FFFFFF" w:themeFill="background1"/>
          </w:tcPr>
          <w:p w14:paraId="0A3D4433" w14:textId="77777777"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114</w:t>
            </w:r>
          </w:p>
        </w:tc>
        <w:tc>
          <w:tcPr>
            <w:tcW w:w="599" w:type="dxa"/>
            <w:tcBorders>
              <w:right w:val="single" w:sz="4" w:space="0" w:color="000000" w:themeColor="text1"/>
            </w:tcBorders>
            <w:shd w:val="clear" w:color="auto" w:fill="FFFFFF" w:themeFill="background1"/>
          </w:tcPr>
          <w:p w14:paraId="6B6E1AFD" w14:textId="18EC775F" w:rsidR="004A50F2" w:rsidRPr="006A612F" w:rsidRDefault="004A50F2" w:rsidP="00AA6ED0">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color w:val="000000"/>
                <w:sz w:val="17"/>
                <w:szCs w:val="17"/>
                <w:u w:color="000000"/>
                <w:bdr w:val="nil"/>
              </w:rPr>
            </w:pPr>
            <w:r w:rsidRPr="006A612F">
              <w:rPr>
                <w:color w:val="000000"/>
                <w:sz w:val="17"/>
                <w:szCs w:val="17"/>
                <w:u w:color="000000"/>
                <w:bdr w:val="nil"/>
              </w:rPr>
              <w:t>9.6</w:t>
            </w:r>
          </w:p>
        </w:tc>
      </w:tr>
      <w:tr w:rsidR="00AA6ED0" w:rsidRPr="006A612F" w14:paraId="606FC2C6" w14:textId="77777777" w:rsidTr="00732F34">
        <w:trPr>
          <w:trHeight w:val="19"/>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000000" w:themeColor="text1"/>
              <w:bottom w:val="single" w:sz="4" w:space="0" w:color="auto"/>
            </w:tcBorders>
            <w:shd w:val="clear" w:color="auto" w:fill="D9D9D9" w:themeFill="background1" w:themeFillShade="D9"/>
          </w:tcPr>
          <w:p w14:paraId="0EDA70F2" w14:textId="77777777" w:rsidR="004A50F2" w:rsidRPr="006A612F" w:rsidRDefault="004A50F2" w:rsidP="00AA6ED0">
            <w:pPr>
              <w:pBdr>
                <w:top w:val="nil"/>
                <w:left w:val="nil"/>
                <w:bottom w:val="nil"/>
                <w:right w:val="nil"/>
                <w:between w:val="nil"/>
                <w:bar w:val="nil"/>
              </w:pBdr>
              <w:jc w:val="center"/>
              <w:rPr>
                <w:rFonts w:eastAsia="Arial Unicode MS"/>
                <w:color w:val="000000"/>
                <w:sz w:val="17"/>
                <w:szCs w:val="17"/>
                <w:u w:color="000000"/>
                <w:bdr w:val="nil"/>
              </w:rPr>
            </w:pPr>
            <w:r w:rsidRPr="006A612F">
              <w:rPr>
                <w:rFonts w:eastAsia="Arial Unicode MS"/>
                <w:color w:val="000000"/>
                <w:sz w:val="17"/>
                <w:szCs w:val="17"/>
                <w:u w:color="000000"/>
                <w:bdr w:val="nil"/>
              </w:rPr>
              <w:t>TOTAL</w:t>
            </w:r>
          </w:p>
        </w:tc>
        <w:tc>
          <w:tcPr>
            <w:tcW w:w="630" w:type="dxa"/>
            <w:tcBorders>
              <w:bottom w:val="single" w:sz="4" w:space="0" w:color="auto"/>
            </w:tcBorders>
            <w:shd w:val="clear" w:color="auto" w:fill="FFFFFF" w:themeFill="background1"/>
          </w:tcPr>
          <w:p w14:paraId="6D2BA7FD"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fldChar w:fldCharType="begin"/>
            </w:r>
            <w:r w:rsidRPr="006A612F">
              <w:rPr>
                <w:rFonts w:eastAsia="Arial Unicode MS"/>
                <w:color w:val="000000"/>
                <w:sz w:val="17"/>
                <w:szCs w:val="17"/>
                <w:u w:color="000000"/>
                <w:bdr w:val="nil"/>
              </w:rPr>
              <w:instrText xml:space="preserve"> =SUM(ABOVE) </w:instrText>
            </w:r>
            <w:r w:rsidRPr="006A612F">
              <w:rPr>
                <w:rFonts w:eastAsia="Arial Unicode MS"/>
                <w:color w:val="000000"/>
                <w:sz w:val="17"/>
                <w:szCs w:val="17"/>
                <w:u w:color="000000"/>
                <w:bdr w:val="nil"/>
              </w:rPr>
              <w:fldChar w:fldCharType="separate"/>
            </w:r>
            <w:r w:rsidRPr="006A612F">
              <w:rPr>
                <w:rFonts w:eastAsia="Arial Unicode MS"/>
                <w:noProof/>
                <w:color w:val="000000"/>
                <w:sz w:val="17"/>
                <w:szCs w:val="17"/>
                <w:u w:color="000000"/>
                <w:bdr w:val="nil"/>
              </w:rPr>
              <w:t>251</w:t>
            </w:r>
            <w:r w:rsidRPr="006A612F">
              <w:rPr>
                <w:rFonts w:eastAsia="Arial Unicode MS"/>
                <w:color w:val="000000"/>
                <w:sz w:val="17"/>
                <w:szCs w:val="17"/>
                <w:u w:color="000000"/>
                <w:bdr w:val="nil"/>
              </w:rPr>
              <w:fldChar w:fldCharType="end"/>
            </w:r>
          </w:p>
        </w:tc>
        <w:tc>
          <w:tcPr>
            <w:tcW w:w="603" w:type="dxa"/>
            <w:tcBorders>
              <w:bottom w:val="single" w:sz="4" w:space="0" w:color="auto"/>
            </w:tcBorders>
            <w:shd w:val="clear" w:color="auto" w:fill="FFFFFF" w:themeFill="background1"/>
          </w:tcPr>
          <w:p w14:paraId="3ED877F7"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p>
        </w:tc>
        <w:tc>
          <w:tcPr>
            <w:tcW w:w="598" w:type="dxa"/>
            <w:tcBorders>
              <w:bottom w:val="single" w:sz="4" w:space="0" w:color="auto"/>
            </w:tcBorders>
            <w:shd w:val="clear" w:color="auto" w:fill="D9D9D9" w:themeFill="background1" w:themeFillShade="D9"/>
          </w:tcPr>
          <w:p w14:paraId="117F1DAB"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fldChar w:fldCharType="begin"/>
            </w:r>
            <w:r w:rsidRPr="006A612F">
              <w:rPr>
                <w:rFonts w:eastAsia="Arial Unicode MS"/>
                <w:color w:val="000000"/>
                <w:sz w:val="17"/>
                <w:szCs w:val="17"/>
                <w:u w:color="000000"/>
                <w:bdr w:val="nil"/>
              </w:rPr>
              <w:instrText xml:space="preserve"> =SUM(ABOVE) </w:instrText>
            </w:r>
            <w:r w:rsidRPr="006A612F">
              <w:rPr>
                <w:rFonts w:eastAsia="Arial Unicode MS"/>
                <w:color w:val="000000"/>
                <w:sz w:val="17"/>
                <w:szCs w:val="17"/>
                <w:u w:color="000000"/>
                <w:bdr w:val="nil"/>
              </w:rPr>
              <w:fldChar w:fldCharType="separate"/>
            </w:r>
            <w:r w:rsidRPr="006A612F">
              <w:rPr>
                <w:rFonts w:eastAsia="Arial Unicode MS"/>
                <w:noProof/>
                <w:color w:val="000000"/>
                <w:sz w:val="17"/>
                <w:szCs w:val="17"/>
                <w:u w:color="000000"/>
                <w:bdr w:val="nil"/>
              </w:rPr>
              <w:t>624</w:t>
            </w:r>
            <w:r w:rsidRPr="006A612F">
              <w:rPr>
                <w:rFonts w:eastAsia="Arial Unicode MS"/>
                <w:color w:val="000000"/>
                <w:sz w:val="17"/>
                <w:szCs w:val="17"/>
                <w:u w:color="000000"/>
                <w:bdr w:val="nil"/>
              </w:rPr>
              <w:fldChar w:fldCharType="end"/>
            </w:r>
          </w:p>
        </w:tc>
        <w:tc>
          <w:tcPr>
            <w:tcW w:w="599" w:type="dxa"/>
            <w:tcBorders>
              <w:bottom w:val="single" w:sz="4" w:space="0" w:color="auto"/>
            </w:tcBorders>
            <w:shd w:val="clear" w:color="auto" w:fill="D9D9D9" w:themeFill="background1" w:themeFillShade="D9"/>
          </w:tcPr>
          <w:p w14:paraId="54A1E1EA"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p>
        </w:tc>
        <w:tc>
          <w:tcPr>
            <w:tcW w:w="598" w:type="dxa"/>
            <w:tcBorders>
              <w:bottom w:val="single" w:sz="4" w:space="0" w:color="auto"/>
            </w:tcBorders>
            <w:shd w:val="clear" w:color="auto" w:fill="FFFFFF" w:themeFill="background1"/>
          </w:tcPr>
          <w:p w14:paraId="6164C212"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rPr>
            </w:pPr>
            <w:r w:rsidRPr="006A612F">
              <w:rPr>
                <w:rFonts w:eastAsia="Arial Unicode MS"/>
                <w:color w:val="000000"/>
                <w:sz w:val="17"/>
                <w:szCs w:val="17"/>
                <w:u w:color="000000"/>
              </w:rPr>
              <w:fldChar w:fldCharType="begin"/>
            </w:r>
            <w:r w:rsidRPr="006A612F">
              <w:rPr>
                <w:rFonts w:eastAsia="Arial Unicode MS"/>
                <w:color w:val="000000"/>
                <w:sz w:val="17"/>
                <w:szCs w:val="17"/>
                <w:u w:color="000000"/>
              </w:rPr>
              <w:instrText xml:space="preserve"> =SUM(ABOVE) </w:instrText>
            </w:r>
            <w:r w:rsidRPr="006A612F">
              <w:rPr>
                <w:rFonts w:eastAsia="Arial Unicode MS"/>
                <w:color w:val="000000"/>
                <w:sz w:val="17"/>
                <w:szCs w:val="17"/>
                <w:u w:color="000000"/>
              </w:rPr>
              <w:fldChar w:fldCharType="separate"/>
            </w:r>
            <w:r w:rsidRPr="006A612F">
              <w:rPr>
                <w:rFonts w:eastAsia="Arial Unicode MS"/>
                <w:noProof/>
                <w:color w:val="000000"/>
                <w:sz w:val="17"/>
                <w:szCs w:val="17"/>
                <w:u w:color="000000"/>
              </w:rPr>
              <w:t>476</w:t>
            </w:r>
            <w:r w:rsidRPr="006A612F">
              <w:rPr>
                <w:rFonts w:eastAsia="Arial Unicode MS"/>
                <w:color w:val="000000"/>
                <w:sz w:val="17"/>
                <w:szCs w:val="17"/>
                <w:u w:color="000000"/>
              </w:rPr>
              <w:fldChar w:fldCharType="end"/>
            </w:r>
          </w:p>
        </w:tc>
        <w:tc>
          <w:tcPr>
            <w:tcW w:w="599" w:type="dxa"/>
            <w:tcBorders>
              <w:bottom w:val="single" w:sz="4" w:space="0" w:color="auto"/>
            </w:tcBorders>
            <w:shd w:val="clear" w:color="auto" w:fill="FFFFFF" w:themeFill="background1"/>
          </w:tcPr>
          <w:p w14:paraId="7176143D" w14:textId="77777777" w:rsidR="004A50F2" w:rsidRPr="006A612F" w:rsidRDefault="004A50F2" w:rsidP="00AA6ED0">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598" w:type="dxa"/>
            <w:tcBorders>
              <w:bottom w:val="single" w:sz="4" w:space="0" w:color="auto"/>
            </w:tcBorders>
            <w:shd w:val="clear" w:color="auto" w:fill="D9D9D9" w:themeFill="background1" w:themeFillShade="D9"/>
          </w:tcPr>
          <w:p w14:paraId="59F350F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fldChar w:fldCharType="begin"/>
            </w:r>
            <w:r w:rsidRPr="006A612F">
              <w:rPr>
                <w:rFonts w:eastAsia="Arial Unicode MS"/>
                <w:color w:val="000000"/>
                <w:sz w:val="17"/>
                <w:szCs w:val="17"/>
                <w:u w:color="000000"/>
                <w:bdr w:val="nil"/>
              </w:rPr>
              <w:instrText xml:space="preserve"> =SUM(ABOVE) </w:instrText>
            </w:r>
            <w:r w:rsidRPr="006A612F">
              <w:rPr>
                <w:rFonts w:eastAsia="Arial Unicode MS"/>
                <w:color w:val="000000"/>
                <w:sz w:val="17"/>
                <w:szCs w:val="17"/>
                <w:u w:color="000000"/>
                <w:bdr w:val="nil"/>
              </w:rPr>
              <w:fldChar w:fldCharType="separate"/>
            </w:r>
            <w:r w:rsidRPr="006A612F">
              <w:rPr>
                <w:rFonts w:eastAsia="Arial Unicode MS"/>
                <w:noProof/>
                <w:color w:val="000000"/>
                <w:sz w:val="17"/>
                <w:szCs w:val="17"/>
                <w:u w:color="000000"/>
                <w:bdr w:val="nil"/>
              </w:rPr>
              <w:t>140</w:t>
            </w:r>
            <w:r w:rsidRPr="006A612F">
              <w:rPr>
                <w:rFonts w:eastAsia="Arial Unicode MS"/>
                <w:color w:val="000000"/>
                <w:sz w:val="17"/>
                <w:szCs w:val="17"/>
                <w:u w:color="000000"/>
                <w:bdr w:val="nil"/>
              </w:rPr>
              <w:fldChar w:fldCharType="end"/>
            </w:r>
          </w:p>
        </w:tc>
        <w:tc>
          <w:tcPr>
            <w:tcW w:w="599" w:type="dxa"/>
            <w:tcBorders>
              <w:bottom w:val="single" w:sz="4" w:space="0" w:color="auto"/>
            </w:tcBorders>
            <w:shd w:val="clear" w:color="auto" w:fill="D9D9D9" w:themeFill="background1" w:themeFillShade="D9"/>
          </w:tcPr>
          <w:p w14:paraId="6676B1E1"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p>
        </w:tc>
        <w:tc>
          <w:tcPr>
            <w:tcW w:w="598" w:type="dxa"/>
            <w:tcBorders>
              <w:bottom w:val="single" w:sz="4" w:space="0" w:color="auto"/>
            </w:tcBorders>
            <w:shd w:val="clear" w:color="auto" w:fill="FFFFFF" w:themeFill="background1"/>
          </w:tcPr>
          <w:p w14:paraId="7292F8E0"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color w:val="000000"/>
                <w:sz w:val="17"/>
                <w:szCs w:val="17"/>
                <w:u w:color="000000"/>
                <w:bdr w:val="nil"/>
              </w:rPr>
            </w:pPr>
            <w:r w:rsidRPr="006A612F">
              <w:rPr>
                <w:rFonts w:eastAsia="Arial Unicode MS"/>
                <w:color w:val="000000"/>
                <w:sz w:val="17"/>
                <w:szCs w:val="17"/>
                <w:u w:color="000000"/>
                <w:bdr w:val="nil"/>
              </w:rPr>
              <w:fldChar w:fldCharType="begin"/>
            </w:r>
            <w:r w:rsidRPr="006A612F">
              <w:rPr>
                <w:rFonts w:eastAsia="Arial Unicode MS"/>
                <w:color w:val="000000"/>
                <w:sz w:val="17"/>
                <w:szCs w:val="17"/>
                <w:u w:color="000000"/>
                <w:bdr w:val="nil"/>
              </w:rPr>
              <w:instrText xml:space="preserve"> =SUM(ABOVE) </w:instrText>
            </w:r>
            <w:r w:rsidRPr="006A612F">
              <w:rPr>
                <w:rFonts w:eastAsia="Arial Unicode MS"/>
                <w:color w:val="000000"/>
                <w:sz w:val="17"/>
                <w:szCs w:val="17"/>
                <w:u w:color="000000"/>
                <w:bdr w:val="nil"/>
              </w:rPr>
              <w:fldChar w:fldCharType="separate"/>
            </w:r>
            <w:r w:rsidRPr="006A612F">
              <w:rPr>
                <w:rFonts w:eastAsia="Arial Unicode MS"/>
                <w:noProof/>
                <w:color w:val="000000"/>
                <w:sz w:val="17"/>
                <w:szCs w:val="17"/>
                <w:u w:color="000000"/>
                <w:bdr w:val="nil"/>
              </w:rPr>
              <w:t>1180</w:t>
            </w:r>
            <w:r w:rsidRPr="006A612F">
              <w:rPr>
                <w:rFonts w:eastAsia="Arial Unicode MS"/>
                <w:color w:val="000000"/>
                <w:sz w:val="17"/>
                <w:szCs w:val="17"/>
                <w:u w:color="000000"/>
                <w:bdr w:val="nil"/>
              </w:rPr>
              <w:fldChar w:fldCharType="end"/>
            </w:r>
          </w:p>
        </w:tc>
        <w:tc>
          <w:tcPr>
            <w:tcW w:w="599" w:type="dxa"/>
            <w:tcBorders>
              <w:bottom w:val="single" w:sz="4" w:space="0" w:color="auto"/>
              <w:right w:val="single" w:sz="4" w:space="0" w:color="000000" w:themeColor="text1"/>
            </w:tcBorders>
            <w:shd w:val="clear" w:color="auto" w:fill="FFFFFF" w:themeFill="background1"/>
          </w:tcPr>
          <w:p w14:paraId="0B62980C" w14:textId="77777777" w:rsidR="004A50F2" w:rsidRPr="006A612F" w:rsidRDefault="004A50F2" w:rsidP="00AA6ED0">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color w:val="000000"/>
                <w:sz w:val="17"/>
                <w:szCs w:val="17"/>
                <w:u w:color="000000"/>
                <w:bdr w:val="nil"/>
              </w:rPr>
            </w:pPr>
          </w:p>
        </w:tc>
      </w:tr>
    </w:tbl>
    <w:p w14:paraId="6AA56257" w14:textId="77777777" w:rsidR="006C169D" w:rsidRPr="006A612F" w:rsidRDefault="006C169D" w:rsidP="00AA6ED0">
      <w:pPr>
        <w:pStyle w:val="Document"/>
        <w:spacing w:line="240" w:lineRule="auto"/>
      </w:pPr>
    </w:p>
    <w:p w14:paraId="700D5E48" w14:textId="28978E1A" w:rsidR="00F70B74" w:rsidRPr="006A612F" w:rsidRDefault="00F70B74" w:rsidP="00AA6ED0">
      <w:pPr>
        <w:pStyle w:val="Document"/>
        <w:spacing w:line="240" w:lineRule="auto"/>
      </w:pPr>
      <w:r w:rsidRPr="006A612F">
        <w:t>Plaintiffs filed a total of 1,180 claims against Doe defendants in federal courts in Georgia, Illinois, Pennsylvania, and Washington during the relevant time frame.</w:t>
      </w:r>
      <w:r w:rsidR="006A559C" w:rsidRPr="006A612F">
        <w:t xml:space="preserve"> </w:t>
      </w:r>
      <w:r w:rsidRPr="006A612F">
        <w:t xml:space="preserve">Of these cases, more than 80% fall into one of five categories: </w:t>
      </w:r>
      <w:r w:rsidR="00BF3D20" w:rsidRPr="006A612F">
        <w:t>c</w:t>
      </w:r>
      <w:r w:rsidRPr="006A612F">
        <w:t>opyright claims,</w:t>
      </w:r>
      <w:r w:rsidRPr="006A612F">
        <w:rPr>
          <w:rStyle w:val="NoterefInText"/>
        </w:rPr>
        <w:footnoteReference w:id="34"/>
      </w:r>
      <w:r w:rsidRPr="006A612F">
        <w:t xml:space="preserve"> </w:t>
      </w:r>
      <w:r w:rsidR="00BF3D20" w:rsidRPr="006A612F">
        <w:t>c</w:t>
      </w:r>
      <w:r w:rsidRPr="006A612F">
        <w:t xml:space="preserve">ivil </w:t>
      </w:r>
      <w:r w:rsidR="00BF3D20" w:rsidRPr="006A612F">
        <w:t>r</w:t>
      </w:r>
      <w:r w:rsidRPr="006A612F">
        <w:t xml:space="preserve">ights claims, </w:t>
      </w:r>
      <w:r w:rsidR="00BF3D20" w:rsidRPr="006A612F">
        <w:t>p</w:t>
      </w:r>
      <w:r w:rsidRPr="006A612F">
        <w:t xml:space="preserve">ersonal </w:t>
      </w:r>
      <w:r w:rsidR="00BF3D20" w:rsidRPr="006A612F">
        <w:t>i</w:t>
      </w:r>
      <w:r w:rsidRPr="006A612F">
        <w:t xml:space="preserve">njury claims, </w:t>
      </w:r>
      <w:r w:rsidR="00BF3D20" w:rsidRPr="006A612F">
        <w:t>p</w:t>
      </w:r>
      <w:r w:rsidRPr="006A612F">
        <w:t xml:space="preserve">risoner </w:t>
      </w:r>
      <w:r w:rsidR="00BF3D20" w:rsidRPr="006A612F">
        <w:t>h</w:t>
      </w:r>
      <w:r w:rsidRPr="006A612F">
        <w:t xml:space="preserve">abeas </w:t>
      </w:r>
      <w:r w:rsidR="00BF3D20" w:rsidRPr="006A612F">
        <w:t>p</w:t>
      </w:r>
      <w:r w:rsidRPr="006A612F">
        <w:t xml:space="preserve">etitions, and </w:t>
      </w:r>
      <w:r w:rsidR="00BF3D20" w:rsidRPr="006A612F">
        <w:t>p</w:t>
      </w:r>
      <w:r w:rsidRPr="006A612F">
        <w:t xml:space="preserve">risoner </w:t>
      </w:r>
      <w:r w:rsidR="00BF3D20" w:rsidRPr="006A612F">
        <w:t>c</w:t>
      </w:r>
      <w:r w:rsidRPr="006A612F">
        <w:t>ondition claims.</w:t>
      </w:r>
      <w:r w:rsidR="006A559C" w:rsidRPr="006A612F">
        <w:t xml:space="preserve"> </w:t>
      </w:r>
    </w:p>
    <w:p w14:paraId="4BE6E44B" w14:textId="3779314D" w:rsidR="00F70B74" w:rsidRPr="006A612F" w:rsidRDefault="00F70B74" w:rsidP="00AA6ED0">
      <w:pPr>
        <w:pStyle w:val="Document"/>
        <w:spacing w:line="240" w:lineRule="auto"/>
      </w:pPr>
      <w:r w:rsidRPr="006A612F">
        <w:lastRenderedPageBreak/>
        <w:t>When one considers the underlying substantive nature of these five categories of cases, it is not especially surprising that plaintiffs are more likely to file suits against John Doe defendants in these five categories of cases than they are in other types of cases.</w:t>
      </w:r>
      <w:bookmarkStart w:id="2" w:name="_Ref83809987"/>
      <w:r w:rsidRPr="006A612F">
        <w:rPr>
          <w:rStyle w:val="NoterefInText"/>
        </w:rPr>
        <w:footnoteReference w:id="35"/>
      </w:r>
      <w:bookmarkEnd w:id="2"/>
      <w:r w:rsidRPr="006A612F">
        <w:t xml:space="preserve"> Under an extremely rudimentary scheme of legal taxonomy, civil cases might be sorted into one of two binary categories: those in which the parties have a pre-existing legal relationship (e.g., contract</w:t>
      </w:r>
      <w:r w:rsidR="007E6375" w:rsidRPr="006A612F">
        <w:t xml:space="preserve"> claims</w:t>
      </w:r>
      <w:r w:rsidRPr="006A612F">
        <w:t>) and those in which the parties do not have a specific pre-existing legal relationship (e.g., negligence tort claim</w:t>
      </w:r>
      <w:r w:rsidR="007E6375" w:rsidRPr="006A612F">
        <w:t>s</w:t>
      </w:r>
      <w:r w:rsidRPr="006A612F">
        <w:t>).</w:t>
      </w:r>
      <w:r w:rsidRPr="006A612F">
        <w:rPr>
          <w:rStyle w:val="NoterefInText"/>
        </w:rPr>
        <w:footnoteReference w:id="36"/>
      </w:r>
      <w:r w:rsidR="006A559C" w:rsidRPr="006A612F">
        <w:t xml:space="preserve"> </w:t>
      </w:r>
      <w:r w:rsidRPr="006A612F">
        <w:t>As a practical matter, in the former</w:t>
      </w:r>
      <w:r w:rsidR="00BF3D20" w:rsidRPr="006A612F">
        <w:t>,</w:t>
      </w:r>
      <w:r w:rsidRPr="006A612F">
        <w:t xml:space="preserve"> a plaintiff</w:t>
      </w:r>
      <w:r w:rsidR="006A559C" w:rsidRPr="006A612F">
        <w:t xml:space="preserve"> </w:t>
      </w:r>
      <w:r w:rsidRPr="006A612F">
        <w:t xml:space="preserve">will often know the identity of the defendant as a consequence of their pre-existing relationship and, accordingly, </w:t>
      </w:r>
      <w:r w:rsidR="002068E8" w:rsidRPr="006A612F">
        <w:t>is</w:t>
      </w:r>
      <w:r w:rsidRPr="006A612F">
        <w:t xml:space="preserve"> less likely to need to rely on John Doe pleadings.</w:t>
      </w:r>
      <w:r w:rsidR="006A559C" w:rsidRPr="006A612F">
        <w:t xml:space="preserve"> </w:t>
      </w:r>
      <w:r w:rsidRPr="006A612F">
        <w:t>In contrast, in the absence of a pre-existing relationship, the plaintiff is less likely to have the information necessary to identify the defendant. A plaintiff is unlikely to have a pre-existing relationship with the defendants in either copyright claims or § 1983 actions.</w:t>
      </w:r>
      <w:r w:rsidR="006A559C" w:rsidRPr="006A612F">
        <w:t xml:space="preserve"> </w:t>
      </w:r>
      <w:r w:rsidRPr="006A612F">
        <w:t>And while a prisoner may have some pre-existing relationship with potential defendants</w:t>
      </w:r>
      <w:r w:rsidR="007062C6" w:rsidRPr="006A612F">
        <w:t>,</w:t>
      </w:r>
      <w:r w:rsidRPr="006A612F">
        <w:t xml:space="preserve"> it may be distant and impersonal, which makes it difficult for the plaintiff to identify the offender.</w:t>
      </w:r>
      <w:r w:rsidR="006A559C" w:rsidRPr="006A612F">
        <w:t xml:space="preserve"> </w:t>
      </w:r>
      <w:r w:rsidRPr="006A612F">
        <w:t>When plaintiffs cannot name the defendant, the best option is often to bring suit against a Doe defendant.</w:t>
      </w:r>
      <w:r w:rsidR="006A559C" w:rsidRPr="006A612F">
        <w:t xml:space="preserve"> </w:t>
      </w:r>
    </w:p>
    <w:p w14:paraId="73D10010" w14:textId="60E181C8" w:rsidR="00F70B74" w:rsidRPr="006A612F" w:rsidRDefault="00166D0D" w:rsidP="00AA6ED0">
      <w:pPr>
        <w:pStyle w:val="SubHead2"/>
        <w:spacing w:line="240" w:lineRule="auto"/>
      </w:pPr>
      <w:r w:rsidRPr="006A612F">
        <w:t>C.</w:t>
      </w:r>
      <w:r w:rsidRPr="006A612F">
        <w:tab/>
      </w:r>
      <w:r w:rsidR="00F70B74" w:rsidRPr="006A612F">
        <w:t>Suing Officer Doe</w:t>
      </w:r>
    </w:p>
    <w:p w14:paraId="33FC5874" w14:textId="328F8FC2" w:rsidR="00F70B74" w:rsidRPr="006A612F" w:rsidRDefault="00F70B74" w:rsidP="00AA6ED0">
      <w:pPr>
        <w:pStyle w:val="Document"/>
        <w:spacing w:line="240" w:lineRule="auto"/>
      </w:pPr>
      <w:r w:rsidRPr="006A612F">
        <w:t>Doe defendants complicate federal pleadings.</w:t>
      </w:r>
      <w:r w:rsidR="006A559C" w:rsidRPr="006A612F">
        <w:t xml:space="preserve"> </w:t>
      </w:r>
      <w:r w:rsidRPr="006A612F">
        <w:t>The Federal Rules of Civil Procedure are silent as to the use of Doe defendants.</w:t>
      </w:r>
      <w:r w:rsidRPr="006A612F">
        <w:rPr>
          <w:rStyle w:val="NoterefInText"/>
        </w:rPr>
        <w:footnoteReference w:id="37"/>
      </w:r>
      <w:r w:rsidR="006A559C" w:rsidRPr="006A612F">
        <w:t xml:space="preserve"> </w:t>
      </w:r>
      <w:r w:rsidRPr="006A612F">
        <w:t xml:space="preserve">Although Doe </w:t>
      </w:r>
      <w:r w:rsidRPr="006A612F">
        <w:lastRenderedPageBreak/>
        <w:t>defendants regularly appear in federal civil cases, federal courts continue to gra</w:t>
      </w:r>
      <w:r w:rsidR="002068E8" w:rsidRPr="006A612F">
        <w:t>pp</w:t>
      </w:r>
      <w:r w:rsidRPr="006A612F">
        <w:t>le with their use in federal civil litigation and are split on whether a civil plaintiff may even sue Doe defendants.</w:t>
      </w:r>
      <w:r w:rsidRPr="006A612F">
        <w:rPr>
          <w:rStyle w:val="NoterefInText"/>
        </w:rPr>
        <w:footnoteReference w:id="38"/>
      </w:r>
    </w:p>
    <w:p w14:paraId="72DA30AE" w14:textId="66AF89CF" w:rsidR="00F70B74" w:rsidRPr="006A612F" w:rsidRDefault="00F70B74" w:rsidP="00AA6ED0">
      <w:pPr>
        <w:pStyle w:val="Document"/>
        <w:spacing w:line="240" w:lineRule="auto"/>
      </w:pPr>
      <w:r w:rsidRPr="006A612F">
        <w:t xml:space="preserve">Assuming they can, the question becomes: </w:t>
      </w:r>
      <w:r w:rsidR="00BF278E" w:rsidRPr="006A612F">
        <w:t>“</w:t>
      </w:r>
      <w:r w:rsidR="006A2439" w:rsidRPr="006A612F">
        <w:t>H</w:t>
      </w:r>
      <w:r w:rsidRPr="006A612F">
        <w:t>ow does one properly state a claim against a Doe defendant?</w:t>
      </w:r>
      <w:r w:rsidR="00BF278E" w:rsidRPr="006A612F">
        <w:t>”</w:t>
      </w:r>
      <w:r w:rsidR="006A559C" w:rsidRPr="006A612F">
        <w:t xml:space="preserve"> </w:t>
      </w:r>
      <w:r w:rsidRPr="006A612F">
        <w:t>Pleading under the Federal Rules of Civil Procedure seems fairly straightforward</w:t>
      </w:r>
      <w:r w:rsidR="003E7064" w:rsidRPr="006A612F">
        <w:t>—</w:t>
      </w:r>
      <w:r w:rsidRPr="006A612F">
        <w:t>claimants only need to make a short and plain statement showing they are entitled to relief.</w:t>
      </w:r>
      <w:r w:rsidRPr="006A612F">
        <w:rPr>
          <w:rStyle w:val="NoterefInText"/>
        </w:rPr>
        <w:footnoteReference w:id="39"/>
      </w:r>
      <w:r w:rsidR="006A559C" w:rsidRPr="006A612F">
        <w:rPr>
          <w:color w:val="000000"/>
          <w:shd w:val="clear" w:color="auto" w:fill="FFFFFF"/>
        </w:rPr>
        <w:t xml:space="preserve"> </w:t>
      </w:r>
      <w:r w:rsidRPr="006A612F">
        <w:rPr>
          <w:color w:val="000000"/>
          <w:shd w:val="clear" w:color="auto" w:fill="FFFFFF"/>
        </w:rPr>
        <w:t>However, since its adoption, federal courts have debated how a claimant meets this requirement.</w:t>
      </w:r>
      <w:r w:rsidRPr="006A612F">
        <w:rPr>
          <w:rStyle w:val="NoterefInText"/>
        </w:rPr>
        <w:footnoteReference w:id="40"/>
      </w:r>
      <w:r w:rsidRPr="006A612F">
        <w:rPr>
          <w:color w:val="000000"/>
          <w:shd w:val="clear" w:color="auto" w:fill="FFFFFF"/>
        </w:rPr>
        <w:t xml:space="preserve"> </w:t>
      </w:r>
      <w:r w:rsidR="00EC3BA1" w:rsidRPr="006A612F">
        <w:rPr>
          <w:i/>
          <w:iCs/>
          <w:color w:val="000000"/>
          <w:shd w:val="clear" w:color="auto" w:fill="FFFFFF"/>
        </w:rPr>
        <w:t>Bell Atlantic Corp.</w:t>
      </w:r>
      <w:r w:rsidR="00BC01C0" w:rsidRPr="006A612F">
        <w:rPr>
          <w:i/>
          <w:iCs/>
          <w:color w:val="000000"/>
          <w:shd w:val="clear" w:color="auto" w:fill="FFFFFF"/>
        </w:rPr>
        <w:t xml:space="preserve"> v. </w:t>
      </w:r>
      <w:r w:rsidRPr="006A612F">
        <w:rPr>
          <w:i/>
          <w:iCs/>
          <w:color w:val="000000"/>
          <w:shd w:val="clear" w:color="auto" w:fill="FFFFFF"/>
        </w:rPr>
        <w:t>Twombly</w:t>
      </w:r>
      <w:r w:rsidR="00EC3BA1" w:rsidRPr="006A612F">
        <w:rPr>
          <w:rStyle w:val="NoterefInText"/>
        </w:rPr>
        <w:footnoteReference w:id="41"/>
      </w:r>
      <w:r w:rsidRPr="006A612F">
        <w:rPr>
          <w:color w:val="000000"/>
          <w:shd w:val="clear" w:color="auto" w:fill="FFFFFF"/>
        </w:rPr>
        <w:t xml:space="preserve"> and </w:t>
      </w:r>
      <w:r w:rsidR="00EC3BA1" w:rsidRPr="006A612F">
        <w:rPr>
          <w:i/>
          <w:iCs/>
          <w:color w:val="000000"/>
          <w:shd w:val="clear" w:color="auto" w:fill="FFFFFF"/>
        </w:rPr>
        <w:t xml:space="preserve">Ashcroft v. </w:t>
      </w:r>
      <w:r w:rsidRPr="006A612F">
        <w:rPr>
          <w:i/>
          <w:iCs/>
          <w:color w:val="000000"/>
          <w:shd w:val="clear" w:color="auto" w:fill="FFFFFF"/>
        </w:rPr>
        <w:t>Iqbal</w:t>
      </w:r>
      <w:r w:rsidR="00EC3BA1" w:rsidRPr="006A612F">
        <w:rPr>
          <w:rStyle w:val="NoterefInText"/>
        </w:rPr>
        <w:footnoteReference w:id="42"/>
      </w:r>
      <w:r w:rsidRPr="006A612F">
        <w:rPr>
          <w:color w:val="000000"/>
          <w:shd w:val="clear" w:color="auto" w:fill="FFFFFF"/>
        </w:rPr>
        <w:t xml:space="preserve"> have only further complicated this issue.</w:t>
      </w:r>
      <w:r w:rsidRPr="006A612F">
        <w:rPr>
          <w:rStyle w:val="NoterefInText"/>
        </w:rPr>
        <w:footnoteReference w:id="43"/>
      </w:r>
      <w:r w:rsidR="006A559C" w:rsidRPr="006A612F">
        <w:rPr>
          <w:color w:val="000000"/>
          <w:shd w:val="clear" w:color="auto" w:fill="FFFFFF"/>
        </w:rPr>
        <w:t xml:space="preserve"> </w:t>
      </w:r>
      <w:r w:rsidRPr="006A612F">
        <w:rPr>
          <w:color w:val="000000"/>
        </w:rPr>
        <w:t xml:space="preserve">In </w:t>
      </w:r>
      <w:r w:rsidRPr="006A612F">
        <w:rPr>
          <w:i/>
          <w:iCs/>
          <w:color w:val="000000"/>
        </w:rPr>
        <w:t>Twombly</w:t>
      </w:r>
      <w:r w:rsidRPr="006A612F">
        <w:rPr>
          <w:color w:val="000000"/>
        </w:rPr>
        <w:t xml:space="preserve">, the Court held </w:t>
      </w:r>
      <w:r w:rsidR="00A858B3" w:rsidRPr="006A612F">
        <w:rPr>
          <w:color w:val="000000"/>
        </w:rPr>
        <w:t xml:space="preserve">for a complaint </w:t>
      </w:r>
      <w:r w:rsidRPr="006A612F">
        <w:rPr>
          <w:color w:val="000000"/>
        </w:rPr>
        <w:t xml:space="preserve">to state a claim </w:t>
      </w:r>
      <w:r w:rsidRPr="006A612F">
        <w:rPr>
          <w:color w:val="000000"/>
          <w:shd w:val="clear" w:color="auto" w:fill="FFFFFF"/>
        </w:rPr>
        <w:t xml:space="preserve">upon which relief can be granted the </w:t>
      </w:r>
      <w:r w:rsidR="00BF278E" w:rsidRPr="006A612F">
        <w:rPr>
          <w:color w:val="000000"/>
          <w:shd w:val="clear" w:color="auto" w:fill="FFFFFF"/>
        </w:rPr>
        <w:t>“</w:t>
      </w:r>
      <w:r w:rsidRPr="006A612F">
        <w:rPr>
          <w:color w:val="000000"/>
          <w:shd w:val="clear" w:color="auto" w:fill="FFFFFF"/>
        </w:rPr>
        <w:t xml:space="preserve">[f]actual allegations must be enough to raise a right to relief above the speculative level </w:t>
      </w:r>
      <w:r w:rsidR="00BF278E" w:rsidRPr="006A612F">
        <w:rPr>
          <w:color w:val="000000"/>
          <w:shd w:val="clear" w:color="auto" w:fill="FFFFFF"/>
        </w:rPr>
        <w:t>. . .</w:t>
      </w:r>
      <w:r w:rsidR="00A4201A" w:rsidRPr="006A612F">
        <w:rPr>
          <w:color w:val="000000"/>
          <w:shd w:val="clear" w:color="auto" w:fill="FFFFFF"/>
        </w:rPr>
        <w:t xml:space="preserve"> </w:t>
      </w:r>
      <w:r w:rsidRPr="006A612F">
        <w:rPr>
          <w:color w:val="000000"/>
          <w:shd w:val="clear" w:color="auto" w:fill="FFFFFF"/>
        </w:rPr>
        <w:t>on the assumption that all the allegations in the complaint are true (even if doubtful in fact).</w:t>
      </w:r>
      <w:r w:rsidR="00BF278E" w:rsidRPr="006A612F">
        <w:rPr>
          <w:color w:val="000000"/>
          <w:shd w:val="clear" w:color="auto" w:fill="FFFFFF"/>
        </w:rPr>
        <w:t>”</w:t>
      </w:r>
      <w:r w:rsidRPr="006A612F">
        <w:rPr>
          <w:rStyle w:val="NoterefInText"/>
        </w:rPr>
        <w:footnoteReference w:id="44"/>
      </w:r>
      <w:r w:rsidR="006A559C" w:rsidRPr="006A612F">
        <w:rPr>
          <w:color w:val="000000"/>
        </w:rPr>
        <w:t xml:space="preserve"> </w:t>
      </w:r>
      <w:r w:rsidRPr="006A612F">
        <w:rPr>
          <w:color w:val="000000"/>
        </w:rPr>
        <w:t xml:space="preserve">Initially, many scholars argued that </w:t>
      </w:r>
      <w:r w:rsidRPr="006A612F">
        <w:rPr>
          <w:i/>
          <w:iCs/>
          <w:color w:val="000000"/>
        </w:rPr>
        <w:t>Twombly</w:t>
      </w:r>
      <w:r w:rsidRPr="006A612F">
        <w:rPr>
          <w:color w:val="000000"/>
        </w:rPr>
        <w:t xml:space="preserve"> was a fluke and its pleading requirements should only apply in antitrust </w:t>
      </w:r>
      <w:r w:rsidRPr="006A612F">
        <w:rPr>
          <w:color w:val="000000"/>
        </w:rPr>
        <w:lastRenderedPageBreak/>
        <w:t>cases.</w:t>
      </w:r>
      <w:r w:rsidRPr="006A612F">
        <w:rPr>
          <w:rStyle w:val="NoterefInText"/>
        </w:rPr>
        <w:footnoteReference w:id="45"/>
      </w:r>
      <w:r w:rsidR="006A559C" w:rsidRPr="006A612F">
        <w:rPr>
          <w:color w:val="000000"/>
        </w:rPr>
        <w:t xml:space="preserve"> </w:t>
      </w:r>
      <w:r w:rsidRPr="006A612F">
        <w:rPr>
          <w:color w:val="000000"/>
        </w:rPr>
        <w:t xml:space="preserve">However, two years later in </w:t>
      </w:r>
      <w:r w:rsidRPr="006A612F">
        <w:rPr>
          <w:i/>
          <w:iCs/>
        </w:rPr>
        <w:t xml:space="preserve">Ashcroft v. Iqbal </w:t>
      </w:r>
      <w:r w:rsidRPr="006A612F">
        <w:t xml:space="preserve">the Court reiterated </w:t>
      </w:r>
      <w:r w:rsidRPr="006A612F">
        <w:rPr>
          <w:i/>
          <w:iCs/>
        </w:rPr>
        <w:t>Twombly</w:t>
      </w:r>
      <w:r w:rsidR="00BF278E" w:rsidRPr="006A612F">
        <w:rPr>
          <w:iCs/>
        </w:rPr>
        <w:t>’</w:t>
      </w:r>
      <w:r w:rsidRPr="006A612F">
        <w:rPr>
          <w:iCs/>
        </w:rPr>
        <w:t>s</w:t>
      </w:r>
      <w:r w:rsidRPr="006A612F">
        <w:t xml:space="preserve"> holding and held that all other federal court civil complaints must contain </w:t>
      </w:r>
      <w:r w:rsidRPr="006A612F">
        <w:rPr>
          <w:i/>
          <w:iCs/>
        </w:rPr>
        <w:t xml:space="preserve">factual </w:t>
      </w:r>
      <w:r w:rsidRPr="006A612F">
        <w:t xml:space="preserve">allegations, not merely legal conclusions, constituting a </w:t>
      </w:r>
      <w:r w:rsidR="00BF278E" w:rsidRPr="006A612F">
        <w:t>“</w:t>
      </w:r>
      <w:r w:rsidRPr="006A612F">
        <w:t>plausible</w:t>
      </w:r>
      <w:r w:rsidR="00BF278E" w:rsidRPr="006A612F">
        <w:t>”</w:t>
      </w:r>
      <w:r w:rsidRPr="006A612F">
        <w:t xml:space="preserve"> claim for relief.</w:t>
      </w:r>
      <w:r w:rsidRPr="006A612F">
        <w:rPr>
          <w:rStyle w:val="NoterefInText"/>
        </w:rPr>
        <w:footnoteReference w:id="46"/>
      </w:r>
      <w:r w:rsidRPr="006A612F">
        <w:t xml:space="preserve"> To complicate matters further</w:t>
      </w:r>
      <w:r w:rsidR="008962F4" w:rsidRPr="006A612F">
        <w:t>,</w:t>
      </w:r>
      <w:r w:rsidRPr="006A612F">
        <w:t xml:space="preserve"> neither </w:t>
      </w:r>
      <w:r w:rsidRPr="006A612F">
        <w:rPr>
          <w:i/>
          <w:iCs/>
        </w:rPr>
        <w:t>Twombly</w:t>
      </w:r>
      <w:r w:rsidRPr="006A612F">
        <w:t xml:space="preserve"> </w:t>
      </w:r>
      <w:r w:rsidR="005E2E6C" w:rsidRPr="006A612F">
        <w:t>n</w:t>
      </w:r>
      <w:r w:rsidRPr="006A612F">
        <w:t xml:space="preserve">or </w:t>
      </w:r>
      <w:r w:rsidRPr="006A612F">
        <w:rPr>
          <w:i/>
          <w:iCs/>
        </w:rPr>
        <w:t xml:space="preserve">Iqbal </w:t>
      </w:r>
      <w:r w:rsidRPr="006A612F">
        <w:t>explicitly overruled the Court</w:t>
      </w:r>
      <w:r w:rsidR="00BF278E" w:rsidRPr="006A612F">
        <w:t>’</w:t>
      </w:r>
      <w:r w:rsidRPr="006A612F">
        <w:t>s prior precedents concerning pleading standards for federal court civil rights claims.</w:t>
      </w:r>
      <w:r w:rsidRPr="006A612F">
        <w:rPr>
          <w:rStyle w:val="NoterefInText"/>
        </w:rPr>
        <w:footnoteReference w:id="47"/>
      </w:r>
    </w:p>
    <w:p w14:paraId="378A7B8C" w14:textId="5C86A946" w:rsidR="00F70B74" w:rsidRPr="006A612F" w:rsidRDefault="00F70B74" w:rsidP="00AA6ED0">
      <w:pPr>
        <w:pStyle w:val="Document"/>
        <w:spacing w:line="240" w:lineRule="auto"/>
      </w:pPr>
      <w:r w:rsidRPr="006A612F">
        <w:rPr>
          <w:i/>
        </w:rPr>
        <w:t>Iqbal</w:t>
      </w:r>
      <w:r w:rsidR="00BF278E" w:rsidRPr="006A612F">
        <w:rPr>
          <w:iCs/>
        </w:rPr>
        <w:t>’</w:t>
      </w:r>
      <w:r w:rsidRPr="006A612F">
        <w:rPr>
          <w:iCs/>
        </w:rPr>
        <w:t>s</w:t>
      </w:r>
      <w:r w:rsidRPr="006A612F">
        <w:t xml:space="preserve"> higher pleading requirements may have a greater impact on cases against John Doe defendants.</w:t>
      </w:r>
      <w:r w:rsidR="006A559C" w:rsidRPr="006A612F">
        <w:t xml:space="preserve"> </w:t>
      </w:r>
      <w:r w:rsidRPr="006A612F">
        <w:t xml:space="preserve">Under </w:t>
      </w:r>
      <w:r w:rsidRPr="006A612F">
        <w:rPr>
          <w:i/>
          <w:iCs/>
        </w:rPr>
        <w:t>Iqbal</w:t>
      </w:r>
      <w:r w:rsidRPr="006A612F">
        <w:t xml:space="preserve">, parties seeking relief must meet two standards: their pleading must </w:t>
      </w:r>
      <w:r w:rsidR="0091191F" w:rsidRPr="006A612F">
        <w:t xml:space="preserve">assert </w:t>
      </w:r>
      <w:r w:rsidR="00BF278E" w:rsidRPr="006A612F">
        <w:t>“</w:t>
      </w:r>
      <w:r w:rsidRPr="006A612F">
        <w:t xml:space="preserve">sufficient factual </w:t>
      </w:r>
      <w:r w:rsidR="00BC23F0" w:rsidRPr="006A612F">
        <w:t>matter</w:t>
      </w:r>
      <w:r w:rsidR="00BF278E" w:rsidRPr="006A612F">
        <w:t>”</w:t>
      </w:r>
      <w:r w:rsidRPr="006A612F">
        <w:t xml:space="preserve"> to state a claim and those factual statements must lead a court to plausibly infer the defendant is liable.</w:t>
      </w:r>
      <w:r w:rsidR="00AA4E32" w:rsidRPr="006A612F">
        <w:rPr>
          <w:rStyle w:val="NoterefInText"/>
        </w:rPr>
        <w:footnoteReference w:id="48"/>
      </w:r>
      <w:r w:rsidRPr="006A612F">
        <w:t xml:space="preserve"> These two requirements may pose an especial problem to plaintiffs who bring claims against Doe defendants.</w:t>
      </w:r>
      <w:r w:rsidR="006A559C" w:rsidRPr="006A612F">
        <w:t xml:space="preserve"> </w:t>
      </w:r>
      <w:r w:rsidRPr="006A612F">
        <w:t>First, the presence of John Doe defendants is often symptomatic of a larger problem</w:t>
      </w:r>
      <w:r w:rsidR="00DD2943" w:rsidRPr="006A612F">
        <w:t>—</w:t>
      </w:r>
      <w:r w:rsidRPr="006A612F">
        <w:t>a lack of knowledge regarding the facts surrounding the alleged injury, which in turn may make it difficult for plaintiffs to state a claim with the requisite degree of specificity.</w:t>
      </w:r>
      <w:r w:rsidR="006A559C" w:rsidRPr="006A612F">
        <w:t xml:space="preserve"> </w:t>
      </w:r>
      <w:r w:rsidRPr="006A612F">
        <w:t xml:space="preserve">Additionally, it is unclear how courts are to determine plausibility even when a plaintiff has knowledge to allege </w:t>
      </w:r>
      <w:r w:rsidR="00BF278E" w:rsidRPr="006A612F">
        <w:t>“</w:t>
      </w:r>
      <w:r w:rsidRPr="006A612F">
        <w:t xml:space="preserve">sufficient factual </w:t>
      </w:r>
      <w:r w:rsidR="00180472" w:rsidRPr="006A612F">
        <w:t>matter</w:t>
      </w:r>
      <w:r w:rsidR="00BF278E" w:rsidRPr="006A612F">
        <w:t>”</w:t>
      </w:r>
      <w:r w:rsidRPr="006A612F">
        <w:t xml:space="preserve"> in her complaint but is uncertain of the defendant</w:t>
      </w:r>
      <w:r w:rsidR="00BF278E" w:rsidRPr="006A612F">
        <w:t>’</w:t>
      </w:r>
      <w:r w:rsidRPr="006A612F">
        <w:t>s identity.</w:t>
      </w:r>
      <w:r w:rsidRPr="006A612F">
        <w:rPr>
          <w:rStyle w:val="NoterefInText"/>
        </w:rPr>
        <w:footnoteReference w:id="49"/>
      </w:r>
      <w:r w:rsidR="006A559C" w:rsidRPr="006A612F">
        <w:t xml:space="preserve"> </w:t>
      </w:r>
      <w:r w:rsidRPr="006A612F">
        <w:t>Arguably, whether the plaintiff has stated a plausible claim depends in part on who the claim is against.</w:t>
      </w:r>
      <w:r w:rsidR="006A559C" w:rsidRPr="006A612F">
        <w:t xml:space="preserve"> </w:t>
      </w:r>
      <w:r w:rsidRPr="006A612F">
        <w:t xml:space="preserve">For example, in </w:t>
      </w:r>
      <w:r w:rsidRPr="006A612F">
        <w:rPr>
          <w:i/>
        </w:rPr>
        <w:t>Iqbal</w:t>
      </w:r>
      <w:r w:rsidRPr="006A612F">
        <w:t>, the majority was careful to differentiate between the high</w:t>
      </w:r>
      <w:r w:rsidR="0091191F" w:rsidRPr="006A612F">
        <w:t>-</w:t>
      </w:r>
      <w:r w:rsidRPr="006A612F">
        <w:t>level cabinet officials named in the suit</w:t>
      </w:r>
      <w:r w:rsidR="00A4791E" w:rsidRPr="006A612F">
        <w:t>—</w:t>
      </w:r>
      <w:r w:rsidRPr="006A612F">
        <w:t>Ashcroft and Mueller</w:t>
      </w:r>
      <w:r w:rsidR="00A4791E" w:rsidRPr="006A612F">
        <w:t>—</w:t>
      </w:r>
      <w:r w:rsidRPr="006A612F">
        <w:t>and low-level executive defendants and held that the plaintiff had failed to allege facts that, if true, would make Ashcroft and Mueller liable.</w:t>
      </w:r>
      <w:r w:rsidRPr="006A612F">
        <w:rPr>
          <w:rStyle w:val="NoterefInText"/>
        </w:rPr>
        <w:footnoteReference w:id="50"/>
      </w:r>
      <w:r w:rsidR="006A559C" w:rsidRPr="006A612F">
        <w:t xml:space="preserve"> </w:t>
      </w:r>
      <w:r w:rsidRPr="006A612F">
        <w:t xml:space="preserve"> Interestingly, Iqbal sued multiple Doe defendants</w:t>
      </w:r>
      <w:r w:rsidR="00D42D82" w:rsidRPr="006A612F">
        <w:t>,</w:t>
      </w:r>
      <w:r w:rsidRPr="006A612F">
        <w:t xml:space="preserve"> but the Court did not consider how a plaintiff states a claim against an unknown </w:t>
      </w:r>
      <w:r w:rsidRPr="006A612F">
        <w:lastRenderedPageBreak/>
        <w:t>defendant.</w:t>
      </w:r>
      <w:r w:rsidRPr="006A612F">
        <w:rPr>
          <w:rStyle w:val="NoterefInText"/>
        </w:rPr>
        <w:footnoteReference w:id="51"/>
      </w:r>
      <w:r w:rsidR="006A559C" w:rsidRPr="006A612F">
        <w:t xml:space="preserve"> </w:t>
      </w:r>
      <w:r w:rsidRPr="006A612F">
        <w:t>Thus, the question of plausibility determinations for Doe defendants remains an open question.</w:t>
      </w:r>
      <w:r w:rsidRPr="006A612F">
        <w:rPr>
          <w:rStyle w:val="NoterefInText"/>
        </w:rPr>
        <w:footnoteReference w:id="52"/>
      </w:r>
    </w:p>
    <w:p w14:paraId="56B278E8" w14:textId="4E31D47A" w:rsidR="00F70B74" w:rsidRPr="006A612F" w:rsidRDefault="00F70B74" w:rsidP="00AA6ED0">
      <w:pPr>
        <w:pStyle w:val="Document"/>
        <w:spacing w:line="240" w:lineRule="auto"/>
      </w:pPr>
      <w:r w:rsidRPr="006A612F">
        <w:t>Most lower federal courts allow Doe designees under special circumstances.</w:t>
      </w:r>
      <w:r w:rsidRPr="006A612F">
        <w:rPr>
          <w:rStyle w:val="NoterefInText"/>
        </w:rPr>
        <w:footnoteReference w:id="53"/>
      </w:r>
      <w:r w:rsidR="006A559C" w:rsidRPr="006A612F">
        <w:t xml:space="preserve"> </w:t>
      </w:r>
      <w:r w:rsidRPr="006A612F">
        <w:t>Circuit courts vary regarding the precise requirements; however, at least some require that a complaint against a Doe defendant provide sufficient information</w:t>
      </w:r>
      <w:r w:rsidR="002068E8" w:rsidRPr="006A612F">
        <w:t xml:space="preserve"> such</w:t>
      </w:r>
      <w:r w:rsidRPr="006A612F">
        <w:t xml:space="preserve"> that the true identity of an unnamed party can be </w:t>
      </w:r>
      <w:r w:rsidR="002068E8" w:rsidRPr="006A612F">
        <w:t>determined</w:t>
      </w:r>
      <w:r w:rsidRPr="006A612F">
        <w:t xml:space="preserve"> through discovery or by intervention by the court.</w:t>
      </w:r>
      <w:r w:rsidRPr="006A612F">
        <w:rPr>
          <w:rStyle w:val="NoterefInText"/>
        </w:rPr>
        <w:footnoteReference w:id="54"/>
      </w:r>
      <w:r w:rsidR="006A559C" w:rsidRPr="006A612F">
        <w:t xml:space="preserve"> </w:t>
      </w:r>
      <w:r w:rsidRPr="006A612F">
        <w:t>The court will determine whether the plaintiff has met this threshold.</w:t>
      </w:r>
      <w:r w:rsidRPr="006A612F">
        <w:rPr>
          <w:rStyle w:val="NoterefInText"/>
        </w:rPr>
        <w:footnoteReference w:id="55"/>
      </w:r>
      <w:r w:rsidR="006A559C" w:rsidRPr="006A612F">
        <w:t xml:space="preserve"> </w:t>
      </w:r>
      <w:r w:rsidRPr="006A612F">
        <w:t>If so, the plaintiff should be able to use formal discovery methods to identify the defendants.</w:t>
      </w:r>
      <w:r w:rsidR="003704A8" w:rsidRPr="006A612F">
        <w:rPr>
          <w:rStyle w:val="NoterefInText"/>
        </w:rPr>
        <w:footnoteReference w:id="56"/>
      </w:r>
      <w:r w:rsidR="006A559C" w:rsidRPr="006A612F">
        <w:t xml:space="preserve"> </w:t>
      </w:r>
      <w:r w:rsidRPr="006A612F">
        <w:t>If they fail</w:t>
      </w:r>
      <w:r w:rsidR="00803CB9" w:rsidRPr="006A612F">
        <w:t>,</w:t>
      </w:r>
      <w:r w:rsidRPr="006A612F">
        <w:t xml:space="preserve"> their complaint will be dismissed.</w:t>
      </w:r>
      <w:r w:rsidRPr="006A612F">
        <w:rPr>
          <w:rStyle w:val="NoterefInText"/>
        </w:rPr>
        <w:footnoteReference w:id="57"/>
      </w:r>
    </w:p>
    <w:p w14:paraId="17D54E53" w14:textId="4CE044E1" w:rsidR="00F70B74" w:rsidRPr="006A612F" w:rsidRDefault="00166D0D" w:rsidP="00AA6ED0">
      <w:pPr>
        <w:pStyle w:val="SubHead2"/>
        <w:spacing w:line="240" w:lineRule="auto"/>
      </w:pPr>
      <w:r w:rsidRPr="006A612F">
        <w:t>D.</w:t>
      </w:r>
      <w:r w:rsidRPr="006A612F">
        <w:tab/>
      </w:r>
      <w:r w:rsidR="00F70B74" w:rsidRPr="006A612F">
        <w:t xml:space="preserve">Identifying Officer Doe </w:t>
      </w:r>
      <w:r w:rsidR="003E272D" w:rsidRPr="006A612F">
        <w:t>T</w:t>
      </w:r>
      <w:r w:rsidR="00F70B74" w:rsidRPr="006A612F">
        <w:t>hrough Discovery</w:t>
      </w:r>
    </w:p>
    <w:p w14:paraId="6D2A8B29" w14:textId="608B46A0" w:rsidR="00F70B74" w:rsidRPr="006A612F" w:rsidRDefault="003E272D" w:rsidP="00AA6ED0">
      <w:pPr>
        <w:pStyle w:val="Document"/>
        <w:spacing w:line="240" w:lineRule="auto"/>
      </w:pPr>
      <w:r w:rsidRPr="006A612F">
        <w:t>D</w:t>
      </w:r>
      <w:r w:rsidR="00F70B74" w:rsidRPr="006A612F">
        <w:t>iscovery is a pretrial process that allows both parties to obtain evidence from the opposing party</w:t>
      </w:r>
      <w:r w:rsidRPr="006A612F">
        <w:t xml:space="preserve">. </w:t>
      </w:r>
      <w:r w:rsidR="00F70B74" w:rsidRPr="006A612F">
        <w:t xml:space="preserve">The purpose of discovery is to allow litigants to obtain the information they need to establish their case or defense </w:t>
      </w:r>
      <w:r w:rsidR="00F70B74" w:rsidRPr="006A612F">
        <w:lastRenderedPageBreak/>
        <w:t>of the lawsuit prior to going to trial.</w:t>
      </w:r>
      <w:r w:rsidR="00F70B74" w:rsidRPr="006A612F">
        <w:rPr>
          <w:rStyle w:val="NoterefInText"/>
        </w:rPr>
        <w:footnoteReference w:id="58"/>
      </w:r>
      <w:r w:rsidR="006A559C" w:rsidRPr="006A612F">
        <w:t xml:space="preserve"> </w:t>
      </w:r>
      <w:r w:rsidR="00F70B74" w:rsidRPr="006A612F">
        <w:t>While the timing of discovery can vary, it generally happens after the pleading stage.</w:t>
      </w:r>
      <w:r w:rsidR="00F70B74" w:rsidRPr="006A612F">
        <w:rPr>
          <w:rStyle w:val="NoterefInText"/>
        </w:rPr>
        <w:footnoteReference w:id="59"/>
      </w:r>
      <w:r w:rsidR="006A559C" w:rsidRPr="006A612F">
        <w:t xml:space="preserve"> </w:t>
      </w:r>
      <w:r w:rsidR="00F70B74" w:rsidRPr="006A612F">
        <w:t>Rules 26 through 37 of the Federal Rules of Civil Procedure govern the discovery process in federal civil litigation.</w:t>
      </w:r>
      <w:r w:rsidR="00F70B74" w:rsidRPr="006A612F">
        <w:rPr>
          <w:rStyle w:val="NoterefInText"/>
        </w:rPr>
        <w:footnoteReference w:id="60"/>
      </w:r>
      <w:r w:rsidR="006A559C" w:rsidRPr="006A612F">
        <w:t xml:space="preserve"> </w:t>
      </w:r>
      <w:r w:rsidR="00F70B74" w:rsidRPr="006A612F">
        <w:t>Assuming they make it past the pleadings, plaintiffs can use these rules to discover the identity of an unknown defendant.</w:t>
      </w:r>
      <w:r w:rsidR="00F70B74" w:rsidRPr="006A612F">
        <w:rPr>
          <w:rStyle w:val="NoterefInText"/>
        </w:rPr>
        <w:footnoteReference w:id="61"/>
      </w:r>
      <w:r w:rsidR="006A559C" w:rsidRPr="006A612F">
        <w:t xml:space="preserve"> </w:t>
      </w:r>
    </w:p>
    <w:p w14:paraId="142988E7" w14:textId="33038F2A" w:rsidR="00F70B74" w:rsidRPr="006A612F" w:rsidRDefault="00F70B74" w:rsidP="00AA6ED0">
      <w:pPr>
        <w:pStyle w:val="Document"/>
        <w:spacing w:line="240" w:lineRule="auto"/>
      </w:pPr>
      <w:r w:rsidRPr="006A612F">
        <w:t>Discovery generally begins with initial disclosures.</w:t>
      </w:r>
      <w:r w:rsidR="006A559C" w:rsidRPr="006A612F">
        <w:t xml:space="preserve"> </w:t>
      </w:r>
      <w:r w:rsidRPr="006A612F">
        <w:t>The initial disclosure requirement of Rule 26(a)(1) allows both parties to obtain preliminary discovery from the opposing party without making any discovery requests.</w:t>
      </w:r>
      <w:r w:rsidR="00EE7BB9" w:rsidRPr="006A612F">
        <w:rPr>
          <w:rStyle w:val="NoterefInText"/>
        </w:rPr>
        <w:footnoteReference w:id="62"/>
      </w:r>
      <w:r w:rsidRPr="006A612F">
        <w:t xml:space="preserve"> However, a party</w:t>
      </w:r>
      <w:r w:rsidR="00BF278E" w:rsidRPr="006A612F">
        <w:t>’</w:t>
      </w:r>
      <w:r w:rsidRPr="006A612F">
        <w:t>s duty to disclose under this rule only extends to information that is available at the time the disclosure is made</w:t>
      </w:r>
      <w:r w:rsidR="001E7F4C" w:rsidRPr="006A612F">
        <w:t>,</w:t>
      </w:r>
      <w:r w:rsidRPr="006A612F">
        <w:t xml:space="preserve"> and the disclosing party only has to provide information that it may use </w:t>
      </w:r>
      <w:r w:rsidRPr="006A612F">
        <w:rPr>
          <w:i/>
          <w:iCs/>
        </w:rPr>
        <w:t xml:space="preserve">in support of </w:t>
      </w:r>
      <w:r w:rsidRPr="006A612F">
        <w:t>its claims or defenses.</w:t>
      </w:r>
      <w:r w:rsidRPr="006A612F">
        <w:rPr>
          <w:rStyle w:val="NoterefInText"/>
        </w:rPr>
        <w:footnoteReference w:id="63"/>
      </w:r>
      <w:r w:rsidR="006A559C" w:rsidRPr="006A612F">
        <w:t xml:space="preserve"> </w:t>
      </w:r>
      <w:r w:rsidRPr="006A612F">
        <w:t>Accordingly, Rule 26(a)(1) does not necessarily require the defendant to reveal the identity of the officers on the scene.</w:t>
      </w:r>
      <w:r w:rsidR="006A559C" w:rsidRPr="006A612F">
        <w:t xml:space="preserve"> </w:t>
      </w:r>
      <w:r w:rsidRPr="006A612F">
        <w:t>Police departments are notorious for not turning over records unless directed to by the court.</w:t>
      </w:r>
      <w:r w:rsidRPr="006A612F">
        <w:rPr>
          <w:rStyle w:val="NoterefInText"/>
        </w:rPr>
        <w:footnoteReference w:id="64"/>
      </w:r>
      <w:r w:rsidRPr="006A612F">
        <w:t xml:space="preserve"> And there is </w:t>
      </w:r>
      <w:r w:rsidR="003E272D" w:rsidRPr="006A612F">
        <w:t xml:space="preserve">an </w:t>
      </w:r>
      <w:r w:rsidRPr="006A612F">
        <w:t>even more practical obstacle preventing plaintiffs from obtaining this information</w:t>
      </w:r>
      <w:r w:rsidR="00D72C86" w:rsidRPr="006A612F">
        <w:t>—</w:t>
      </w:r>
      <w:r w:rsidRPr="006A612F">
        <w:t>you cannot get discovery from an unknown defendant.</w:t>
      </w:r>
      <w:r w:rsidR="006A559C" w:rsidRPr="006A612F">
        <w:t xml:space="preserve"> </w:t>
      </w:r>
      <w:r w:rsidRPr="006A612F">
        <w:t>Accordingly, the plaintiff needs to name at least one defendant who will have discoverable information about the identity of the police officials present.</w:t>
      </w:r>
    </w:p>
    <w:p w14:paraId="1875B3B4" w14:textId="7E23A39B" w:rsidR="00F70B74" w:rsidRPr="006A612F" w:rsidRDefault="00F70B74" w:rsidP="00AA6ED0">
      <w:pPr>
        <w:pStyle w:val="Document"/>
        <w:spacing w:line="240" w:lineRule="auto"/>
        <w:rPr>
          <w:shd w:val="clear" w:color="auto" w:fill="FFFFFF"/>
        </w:rPr>
      </w:pPr>
      <w:r w:rsidRPr="006A612F">
        <w:rPr>
          <w:shd w:val="clear" w:color="auto" w:fill="FFFFFF"/>
        </w:rPr>
        <w:t>Because the identity of Officer Doe is still unknown, it is important that victims of police excessive force sue the municipality (i.e., the police department) in addition to John Doe police officials.</w:t>
      </w:r>
      <w:r w:rsidRPr="006A612F">
        <w:rPr>
          <w:rStyle w:val="NoterefInText"/>
        </w:rPr>
        <w:footnoteReference w:id="65"/>
      </w:r>
      <w:r w:rsidR="006A559C" w:rsidRPr="006A612F">
        <w:rPr>
          <w:shd w:val="clear" w:color="auto" w:fill="FFFFFF"/>
        </w:rPr>
        <w:t xml:space="preserve"> </w:t>
      </w:r>
      <w:r w:rsidRPr="006A612F">
        <w:rPr>
          <w:shd w:val="clear" w:color="auto" w:fill="FFFFFF"/>
        </w:rPr>
        <w:t xml:space="preserve">Even if the municipality is ultimately dismissed from the action, </w:t>
      </w:r>
      <w:r w:rsidR="00E42BF0" w:rsidRPr="006A612F">
        <w:rPr>
          <w:shd w:val="clear" w:color="auto" w:fill="FFFFFF"/>
        </w:rPr>
        <w:t xml:space="preserve">it is </w:t>
      </w:r>
      <w:r w:rsidRPr="006A612F">
        <w:rPr>
          <w:shd w:val="clear" w:color="auto" w:fill="FFFFFF"/>
        </w:rPr>
        <w:t xml:space="preserve">likely to have discoverable information about who was present when the plaintiff was </w:t>
      </w:r>
      <w:r w:rsidRPr="006A612F">
        <w:rPr>
          <w:shd w:val="clear" w:color="auto" w:fill="FFFFFF"/>
        </w:rPr>
        <w:lastRenderedPageBreak/>
        <w:t>injured.</w:t>
      </w:r>
      <w:bookmarkStart w:id="3" w:name="_Ref83810119"/>
      <w:r w:rsidRPr="006A612F">
        <w:rPr>
          <w:rStyle w:val="NoterefInText"/>
        </w:rPr>
        <w:footnoteReference w:id="66"/>
      </w:r>
      <w:bookmarkEnd w:id="3"/>
      <w:r w:rsidRPr="006A612F">
        <w:rPr>
          <w:shd w:val="clear" w:color="auto" w:fill="FFFFFF"/>
        </w:rPr>
        <w:t xml:space="preserve"> Typically, plaintiffs will serve the municipality with interrogatories to uncover relevant information about the incident.</w:t>
      </w:r>
      <w:r w:rsidRPr="006A612F">
        <w:rPr>
          <w:rStyle w:val="NoterefInText"/>
        </w:rPr>
        <w:footnoteReference w:id="67"/>
      </w:r>
      <w:r w:rsidR="006A559C" w:rsidRPr="006A612F">
        <w:rPr>
          <w:shd w:val="clear" w:color="auto" w:fill="FFFFFF"/>
        </w:rPr>
        <w:t xml:space="preserve"> </w:t>
      </w:r>
    </w:p>
    <w:p w14:paraId="767BB330" w14:textId="3E9B9839" w:rsidR="00F70B74" w:rsidRPr="006A612F" w:rsidRDefault="00F70B74" w:rsidP="00AA6ED0">
      <w:pPr>
        <w:pStyle w:val="Document"/>
        <w:spacing w:line="240" w:lineRule="auto"/>
      </w:pPr>
      <w:r w:rsidRPr="006A612F">
        <w:rPr>
          <w:shd w:val="clear" w:color="auto" w:fill="FFFFFF"/>
        </w:rPr>
        <w:t xml:space="preserve">Plaintiffs may also use Rule 34 to obtain documents and other </w:t>
      </w:r>
      <w:r w:rsidR="00BF278E" w:rsidRPr="006A612F">
        <w:rPr>
          <w:shd w:val="clear" w:color="auto" w:fill="FFFFFF"/>
        </w:rPr>
        <w:t>“</w:t>
      </w:r>
      <w:r w:rsidRPr="006A612F">
        <w:rPr>
          <w:shd w:val="clear" w:color="auto" w:fill="FFFFFF"/>
        </w:rPr>
        <w:t>tangible things.</w:t>
      </w:r>
      <w:r w:rsidR="00BF278E" w:rsidRPr="006A612F">
        <w:rPr>
          <w:shd w:val="clear" w:color="auto" w:fill="FFFFFF"/>
        </w:rPr>
        <w:t>”</w:t>
      </w:r>
      <w:r w:rsidRPr="006A612F">
        <w:rPr>
          <w:rStyle w:val="NoterefInText"/>
        </w:rPr>
        <w:footnoteReference w:id="68"/>
      </w:r>
      <w:r w:rsidR="006A559C" w:rsidRPr="006A612F">
        <w:rPr>
          <w:shd w:val="clear" w:color="auto" w:fill="FFFFFF"/>
        </w:rPr>
        <w:t xml:space="preserve"> </w:t>
      </w:r>
      <w:r w:rsidRPr="006A612F">
        <w:t>In excessive force cases</w:t>
      </w:r>
      <w:r w:rsidR="00CF1A26" w:rsidRPr="006A612F">
        <w:t>,</w:t>
      </w:r>
      <w:r w:rsidRPr="006A612F">
        <w:t xml:space="preserve"> these include medical records, physical evidence of a crime, video recordings of the incident, and documents regarding the defendants</w:t>
      </w:r>
      <w:r w:rsidR="00BF278E" w:rsidRPr="006A612F">
        <w:t>’</w:t>
      </w:r>
      <w:r w:rsidRPr="006A612F">
        <w:t xml:space="preserve"> employment and disciplinary history.</w:t>
      </w:r>
      <w:r w:rsidRPr="006A612F">
        <w:rPr>
          <w:rStyle w:val="NoterefInText"/>
        </w:rPr>
        <w:footnoteReference w:id="69"/>
      </w:r>
      <w:r w:rsidRPr="006A612F">
        <w:t xml:space="preserve"> However, videos captured by police</w:t>
      </w:r>
      <w:r w:rsidR="00E14BDA" w:rsidRPr="006A612F">
        <w:t>-</w:t>
      </w:r>
      <w:r w:rsidRPr="006A612F">
        <w:t xml:space="preserve">vehicle dashboard cameras and officer body cameras perhaps offer the most promising </w:t>
      </w:r>
      <w:r w:rsidR="00BF278E" w:rsidRPr="006A612F">
        <w:t>“</w:t>
      </w:r>
      <w:r w:rsidRPr="006A612F">
        <w:t>tangible</w:t>
      </w:r>
      <w:r w:rsidR="00BF278E" w:rsidRPr="006A612F">
        <w:t>”</w:t>
      </w:r>
      <w:r w:rsidRPr="006A612F">
        <w:t xml:space="preserve"> evidence of who was on the scene and what exactly happened.</w:t>
      </w:r>
      <w:r w:rsidR="006A559C" w:rsidRPr="006A612F">
        <w:t xml:space="preserve"> </w:t>
      </w:r>
    </w:p>
    <w:p w14:paraId="02963E7D" w14:textId="13C7FFAF" w:rsidR="00F70B74" w:rsidRPr="006A612F" w:rsidRDefault="00F70B74" w:rsidP="00AA6ED0">
      <w:pPr>
        <w:pStyle w:val="Document"/>
        <w:spacing w:line="240" w:lineRule="auto"/>
        <w:rPr>
          <w:color w:val="000000" w:themeColor="text1"/>
          <w:bdr w:val="none" w:sz="0" w:space="0" w:color="auto" w:frame="1"/>
          <w:shd w:val="clear" w:color="auto" w:fill="FFFFFF"/>
        </w:rPr>
      </w:pPr>
      <w:r w:rsidRPr="006A612F">
        <w:t>Recently, there has been an increase in video evidence in police brutality cases.</w:t>
      </w:r>
      <w:r w:rsidRPr="006A612F">
        <w:rPr>
          <w:rStyle w:val="NoterefInText"/>
        </w:rPr>
        <w:footnoteReference w:id="70"/>
      </w:r>
      <w:r w:rsidRPr="006A612F">
        <w:t xml:space="preserve"> Some of this is due to increased use of police body cameras.</w:t>
      </w:r>
      <w:bookmarkStart w:id="4" w:name="_Ref87796261"/>
      <w:r w:rsidRPr="006A612F">
        <w:rPr>
          <w:rStyle w:val="NoterefInText"/>
        </w:rPr>
        <w:footnoteReference w:id="71"/>
      </w:r>
      <w:bookmarkEnd w:id="4"/>
      <w:r w:rsidR="006A559C" w:rsidRPr="006A612F">
        <w:t xml:space="preserve"> </w:t>
      </w:r>
      <w:r w:rsidRPr="006A612F">
        <w:rPr>
          <w:color w:val="000000" w:themeColor="text1"/>
          <w:bdr w:val="none" w:sz="0" w:space="0" w:color="auto" w:frame="1"/>
          <w:shd w:val="clear" w:color="auto" w:fill="FFFFFF"/>
        </w:rPr>
        <w:t xml:space="preserve">As of </w:t>
      </w:r>
      <w:r w:rsidRPr="006A612F">
        <w:rPr>
          <w:color w:val="000000" w:themeColor="text1"/>
          <w:bdr w:val="none" w:sz="0" w:space="0" w:color="auto" w:frame="1"/>
          <w:shd w:val="clear" w:color="auto" w:fill="FFFFFF"/>
        </w:rPr>
        <w:lastRenderedPageBreak/>
        <w:t xml:space="preserve">2016, </w:t>
      </w:r>
      <w:r w:rsidR="00BF278E" w:rsidRPr="006A612F">
        <w:rPr>
          <w:color w:val="000000" w:themeColor="text1"/>
          <w:bdr w:val="none" w:sz="0" w:space="0" w:color="auto" w:frame="1"/>
          <w:shd w:val="clear" w:color="auto" w:fill="FFFFFF"/>
        </w:rPr>
        <w:t>“</w:t>
      </w:r>
      <w:r w:rsidRPr="006A612F">
        <w:rPr>
          <w:color w:val="000000" w:themeColor="text1"/>
        </w:rPr>
        <w:t>nearly half (47%) of the 15,328 general-purpose law enforcement agencies in the United States had acquired body-worn cameras.</w:t>
      </w:r>
      <w:r w:rsidR="00BF278E" w:rsidRPr="006A612F">
        <w:rPr>
          <w:color w:val="000000" w:themeColor="text1"/>
        </w:rPr>
        <w:t>”</w:t>
      </w:r>
      <w:r w:rsidRPr="006A612F">
        <w:rPr>
          <w:rStyle w:val="NoterefInText"/>
        </w:rPr>
        <w:footnoteReference w:id="72"/>
      </w:r>
      <w:r w:rsidRPr="006A612F">
        <w:rPr>
          <w:color w:val="000000" w:themeColor="text1"/>
        </w:rPr>
        <w:t xml:space="preserve"> Of that, </w:t>
      </w:r>
      <w:r w:rsidRPr="006A612F">
        <w:t>about 80% of the largest local police departments (employing 500 or more full-time sworn officers) had acquired body cameras.</w:t>
      </w:r>
      <w:r w:rsidRPr="006A612F">
        <w:rPr>
          <w:rStyle w:val="NoterefInText"/>
        </w:rPr>
        <w:footnoteReference w:id="73"/>
      </w:r>
      <w:r w:rsidRPr="006A612F">
        <w:t xml:space="preserve"> Moreover, about 95% of agencies that had acquired body cameras had placed at least one camera in service.</w:t>
      </w:r>
      <w:r w:rsidRPr="006A612F">
        <w:rPr>
          <w:rStyle w:val="NoterefInText"/>
        </w:rPr>
        <w:footnoteReference w:id="74"/>
      </w:r>
    </w:p>
    <w:p w14:paraId="58E7F33C" w14:textId="11E67877" w:rsidR="00F70B74" w:rsidRPr="006A612F" w:rsidRDefault="00F70B74" w:rsidP="00AA6ED0">
      <w:pPr>
        <w:pStyle w:val="Document"/>
        <w:spacing w:line="240" w:lineRule="auto"/>
      </w:pPr>
      <w:r w:rsidRPr="006A612F">
        <w:t>Video evidence can be crucial in prosecuting and litigating police misconduct cases.</w:t>
      </w:r>
      <w:r w:rsidR="006A559C" w:rsidRPr="006A612F">
        <w:t xml:space="preserve"> </w:t>
      </w:r>
      <w:r w:rsidRPr="006A612F">
        <w:t xml:space="preserve">For example, in 2014, a Chicago officer shot Laquan McDonald, a </w:t>
      </w:r>
      <w:r w:rsidR="003B1140" w:rsidRPr="006A612F">
        <w:t>seventeen</w:t>
      </w:r>
      <w:r w:rsidRPr="006A612F">
        <w:t>-year old Black male, sixteen times.</w:t>
      </w:r>
      <w:bookmarkStart w:id="5" w:name="_Ref87797402"/>
      <w:r w:rsidRPr="006A612F">
        <w:rPr>
          <w:rStyle w:val="NoterefInText"/>
        </w:rPr>
        <w:footnoteReference w:id="75"/>
      </w:r>
      <w:bookmarkEnd w:id="5"/>
      <w:r w:rsidRPr="006A612F">
        <w:t xml:space="preserve"> The officers claimed in their account of the events that McDonald was the aggressor and that the shooter, </w:t>
      </w:r>
      <w:r w:rsidR="00585B47" w:rsidRPr="006A612F">
        <w:t xml:space="preserve">Jason </w:t>
      </w:r>
      <w:r w:rsidRPr="006A612F">
        <w:t>Van Dyke, was actually the victim.</w:t>
      </w:r>
      <w:r w:rsidRPr="006A612F">
        <w:rPr>
          <w:rStyle w:val="NoterefInText"/>
        </w:rPr>
        <w:footnoteReference w:id="76"/>
      </w:r>
      <w:r w:rsidRPr="006A612F">
        <w:t xml:space="preserve"> </w:t>
      </w:r>
      <w:r w:rsidR="00550298" w:rsidRPr="006A612F">
        <w:t xml:space="preserve">In a statement </w:t>
      </w:r>
      <w:r w:rsidR="003E346B" w:rsidRPr="006A612F">
        <w:t xml:space="preserve">issued </w:t>
      </w:r>
      <w:r w:rsidR="00550298" w:rsidRPr="006A612F">
        <w:t xml:space="preserve">the day after the shooting, the Chicago Police Department said that </w:t>
      </w:r>
      <w:r w:rsidRPr="006A612F">
        <w:t xml:space="preserve">McDonald </w:t>
      </w:r>
      <w:r w:rsidR="00BF278E" w:rsidRPr="006A612F">
        <w:t>“</w:t>
      </w:r>
      <w:r w:rsidRPr="006A612F">
        <w:t>refused to comply with orders to drop the knife and continued to approach the officers.</w:t>
      </w:r>
      <w:r w:rsidR="00BF278E" w:rsidRPr="006A612F">
        <w:t>”</w:t>
      </w:r>
      <w:bookmarkStart w:id="6" w:name="_Ref83810091"/>
      <w:r w:rsidRPr="006A612F">
        <w:rPr>
          <w:rStyle w:val="NoterefInText"/>
        </w:rPr>
        <w:footnoteReference w:id="77"/>
      </w:r>
      <w:bookmarkEnd w:id="6"/>
      <w:r w:rsidRPr="006A612F">
        <w:t xml:space="preserve"> The other officers on the scene repeated the same false account.</w:t>
      </w:r>
      <w:r w:rsidRPr="006A612F">
        <w:rPr>
          <w:rStyle w:val="NoterefInText"/>
        </w:rPr>
        <w:footnoteReference w:id="78"/>
      </w:r>
      <w:r w:rsidRPr="006A612F">
        <w:t xml:space="preserve"> Video evidence surfaced over a year later that showed what truly occurred that night.</w:t>
      </w:r>
      <w:r w:rsidRPr="006A612F">
        <w:rPr>
          <w:rStyle w:val="NoterefInText"/>
        </w:rPr>
        <w:footnoteReference w:id="79"/>
      </w:r>
      <w:r w:rsidRPr="006A612F">
        <w:t xml:space="preserve"> Van</w:t>
      </w:r>
      <w:r w:rsidR="00297C4B" w:rsidRPr="006A612F">
        <w:t xml:space="preserve"> </w:t>
      </w:r>
      <w:r w:rsidRPr="006A612F">
        <w:t xml:space="preserve">Dyke shot McDonald sixteen times as McDonald walked </w:t>
      </w:r>
      <w:r w:rsidRPr="006A612F">
        <w:rPr>
          <w:i/>
          <w:iCs/>
        </w:rPr>
        <w:t>away</w:t>
      </w:r>
      <w:r w:rsidRPr="006A612F">
        <w:t xml:space="preserve"> from him with a knife.</w:t>
      </w:r>
      <w:r w:rsidRPr="006A612F">
        <w:rPr>
          <w:rStyle w:val="NoterefInText"/>
        </w:rPr>
        <w:footnoteReference w:id="80"/>
      </w:r>
      <w:r w:rsidR="006A559C" w:rsidRPr="006A612F">
        <w:t xml:space="preserve"> </w:t>
      </w:r>
      <w:r w:rsidR="00297C4B" w:rsidRPr="006A612F">
        <w:t>Van Dyke</w:t>
      </w:r>
      <w:r w:rsidRPr="006A612F">
        <w:t xml:space="preserve"> was later found guilty of second-degree murder and sentenced to six years</w:t>
      </w:r>
      <w:r w:rsidR="003E272D" w:rsidRPr="006A612F">
        <w:t>,</w:t>
      </w:r>
      <w:r w:rsidRPr="006A612F">
        <w:t xml:space="preserve"> largely due to the </w:t>
      </w:r>
      <w:r w:rsidRPr="006A612F">
        <w:lastRenderedPageBreak/>
        <w:t>video evidence.</w:t>
      </w:r>
      <w:r w:rsidRPr="006A612F">
        <w:rPr>
          <w:rStyle w:val="NoterefInText"/>
        </w:rPr>
        <w:footnoteReference w:id="81"/>
      </w:r>
      <w:r w:rsidR="006A559C" w:rsidRPr="006A612F">
        <w:t xml:space="preserve"> </w:t>
      </w:r>
      <w:r w:rsidRPr="006A612F">
        <w:t>Prior to the family filing a civil suit, the city agreed to pay the family $5 million, which the family accepted.</w:t>
      </w:r>
      <w:r w:rsidRPr="006A612F">
        <w:rPr>
          <w:rStyle w:val="NoterefInText"/>
        </w:rPr>
        <w:footnoteReference w:id="82"/>
      </w:r>
      <w:r w:rsidRPr="006A612F">
        <w:t xml:space="preserve"> Unfortunately, only a handful of excessive force cases are caught on video.</w:t>
      </w:r>
      <w:r w:rsidRPr="006A612F">
        <w:rPr>
          <w:rStyle w:val="NoterefInText"/>
        </w:rPr>
        <w:footnoteReference w:id="83"/>
      </w:r>
    </w:p>
    <w:p w14:paraId="556B3CFC" w14:textId="039E5D37" w:rsidR="00F70B74" w:rsidRPr="006A612F" w:rsidRDefault="00F70B74" w:rsidP="00AA6ED0">
      <w:pPr>
        <w:pStyle w:val="Document"/>
        <w:spacing w:line="240" w:lineRule="auto"/>
      </w:pPr>
      <w:r w:rsidRPr="006A612F">
        <w:t xml:space="preserve">In the absence of body camera footage, § 1983 </w:t>
      </w:r>
      <w:r w:rsidR="00F56A08" w:rsidRPr="006A612F">
        <w:t xml:space="preserve">plaintiffs </w:t>
      </w:r>
      <w:r w:rsidRPr="006A612F">
        <w:t>may still be able to learn what happened through depositions.</w:t>
      </w:r>
      <w:r w:rsidR="006A559C" w:rsidRPr="006A612F">
        <w:t xml:space="preserve"> </w:t>
      </w:r>
      <w:r w:rsidRPr="006A612F">
        <w:t>This, of course, supposes they are able to identify who was present on the scene to depose those officers.</w:t>
      </w:r>
      <w:r w:rsidRPr="006A612F">
        <w:rPr>
          <w:rStyle w:val="NoterefInText"/>
        </w:rPr>
        <w:footnoteReference w:id="84"/>
      </w:r>
      <w:r w:rsidR="006A559C" w:rsidRPr="006A612F">
        <w:t xml:space="preserve"> </w:t>
      </w:r>
      <w:r w:rsidRPr="006A612F">
        <w:t xml:space="preserve">Deposing an officer allows </w:t>
      </w:r>
      <w:r w:rsidR="00D844D2" w:rsidRPr="006A612F">
        <w:t>a</w:t>
      </w:r>
      <w:r w:rsidRPr="006A612F">
        <w:t xml:space="preserve"> </w:t>
      </w:r>
      <w:r w:rsidR="008D53B1" w:rsidRPr="006A612F">
        <w:t>p</w:t>
      </w:r>
      <w:r w:rsidRPr="006A612F">
        <w:t>laintiff</w:t>
      </w:r>
      <w:r w:rsidR="00BF278E" w:rsidRPr="006A612F">
        <w:t>’</w:t>
      </w:r>
      <w:r w:rsidRPr="006A612F">
        <w:t xml:space="preserve">s attorney to directly question </w:t>
      </w:r>
      <w:r w:rsidR="000B0EDC" w:rsidRPr="006A612F">
        <w:t xml:space="preserve">the </w:t>
      </w:r>
      <w:r w:rsidRPr="006A612F">
        <w:t>officer about what occurred.</w:t>
      </w:r>
      <w:r w:rsidRPr="006A612F">
        <w:rPr>
          <w:rStyle w:val="NoterefInText"/>
        </w:rPr>
        <w:footnoteReference w:id="85"/>
      </w:r>
      <w:r w:rsidRPr="006A612F">
        <w:t xml:space="preserve"> However, just because the plaintiff has an opportunity to ask questions does not necessarily mean that </w:t>
      </w:r>
      <w:r w:rsidR="001D1F9D" w:rsidRPr="006A612F">
        <w:t xml:space="preserve">the plaintiff will </w:t>
      </w:r>
      <w:r w:rsidRPr="006A612F">
        <w:t>get straight or honest answers.</w:t>
      </w:r>
    </w:p>
    <w:p w14:paraId="0E0F6784" w14:textId="0BA1F6DF" w:rsidR="00F70B74" w:rsidRPr="006A612F" w:rsidRDefault="00166D0D" w:rsidP="00AA6ED0">
      <w:pPr>
        <w:pStyle w:val="SubHead2"/>
        <w:spacing w:line="240" w:lineRule="auto"/>
      </w:pPr>
      <w:r w:rsidRPr="006A612F">
        <w:t>E.</w:t>
      </w:r>
      <w:r w:rsidRPr="006A612F">
        <w:tab/>
      </w:r>
      <w:r w:rsidR="00F70B74" w:rsidRPr="006A612F">
        <w:t>Hitting the Blue Wall of Silence</w:t>
      </w:r>
    </w:p>
    <w:p w14:paraId="0002EFE0" w14:textId="070F04CC" w:rsidR="00F70B74" w:rsidRPr="006A612F" w:rsidRDefault="00F70B74" w:rsidP="00AA6ED0">
      <w:pPr>
        <w:pStyle w:val="Document"/>
        <w:spacing w:line="240" w:lineRule="auto"/>
        <w:rPr>
          <w:shd w:val="clear" w:color="auto" w:fill="FFFFFF"/>
        </w:rPr>
      </w:pPr>
      <w:r w:rsidRPr="006A612F">
        <w:t>The blue wall of silence has the potential to block plaintiffs from the information they need to litigate their case.</w:t>
      </w:r>
      <w:r w:rsidR="006A559C" w:rsidRPr="006A612F">
        <w:t xml:space="preserve"> </w:t>
      </w:r>
      <w:r w:rsidR="00B24848" w:rsidRPr="006A612F">
        <w:t xml:space="preserve">Gabriel </w:t>
      </w:r>
      <w:r w:rsidRPr="006A612F">
        <w:t xml:space="preserve">Chin and </w:t>
      </w:r>
      <w:r w:rsidR="00B24848" w:rsidRPr="006A612F">
        <w:t>Scot</w:t>
      </w:r>
      <w:r w:rsidR="0093212F" w:rsidRPr="006A612F">
        <w:t>t</w:t>
      </w:r>
      <w:r w:rsidR="00B24848" w:rsidRPr="006A612F">
        <w:t xml:space="preserve"> </w:t>
      </w:r>
      <w:r w:rsidRPr="006A612F">
        <w:t xml:space="preserve">Wells define the blue wall of silence as </w:t>
      </w:r>
      <w:r w:rsidR="00BF278E" w:rsidRPr="006A612F">
        <w:t>“</w:t>
      </w:r>
      <w:r w:rsidRPr="006A612F">
        <w:rPr>
          <w:shd w:val="clear" w:color="auto" w:fill="FFFFFF"/>
        </w:rPr>
        <w:t>an unwritten code in many departments which prohibits disclosing perjury or other misconduct by fellow officers, or even testifying truthfully if the facts would implicate the conduct of a fellow</w:t>
      </w:r>
      <w:r w:rsidR="003E42AB" w:rsidRPr="006A612F">
        <w:rPr>
          <w:shd w:val="clear" w:color="auto" w:fill="FFFFFF"/>
        </w:rPr>
        <w:t xml:space="preserve"> </w:t>
      </w:r>
      <w:r w:rsidRPr="006A612F">
        <w:rPr>
          <w:shd w:val="clear" w:color="auto" w:fill="FFFFFF"/>
        </w:rPr>
        <w:lastRenderedPageBreak/>
        <w:t>officer.</w:t>
      </w:r>
      <w:r w:rsidR="00BF278E" w:rsidRPr="006A612F">
        <w:rPr>
          <w:shd w:val="clear" w:color="auto" w:fill="FFFFFF"/>
        </w:rPr>
        <w:t>”</w:t>
      </w:r>
      <w:bookmarkStart w:id="7" w:name="_Ref87803151"/>
      <w:r w:rsidRPr="006A612F">
        <w:rPr>
          <w:rStyle w:val="NoterefInText"/>
        </w:rPr>
        <w:footnoteReference w:id="86"/>
      </w:r>
      <w:bookmarkEnd w:id="7"/>
      <w:r w:rsidR="006A559C" w:rsidRPr="006A612F">
        <w:rPr>
          <w:shd w:val="clear" w:color="auto" w:fill="FFFFFF"/>
        </w:rPr>
        <w:t xml:space="preserve"> </w:t>
      </w:r>
      <w:r w:rsidRPr="006A612F">
        <w:rPr>
          <w:shd w:val="clear" w:color="auto" w:fill="FFFFFF"/>
        </w:rPr>
        <w:t>As one former FBI agent put it</w:t>
      </w:r>
      <w:r w:rsidR="008650F4" w:rsidRPr="006A612F">
        <w:rPr>
          <w:shd w:val="clear" w:color="auto" w:fill="FFFFFF"/>
        </w:rPr>
        <w:t>:</w:t>
      </w:r>
      <w:r w:rsidRPr="006A612F">
        <w:rPr>
          <w:shd w:val="clear" w:color="auto" w:fill="FFFFFF"/>
        </w:rPr>
        <w:t xml:space="preserve"> </w:t>
      </w:r>
      <w:r w:rsidR="00BF278E" w:rsidRPr="006A612F">
        <w:rPr>
          <w:shd w:val="clear" w:color="auto" w:fill="FFFFFF"/>
        </w:rPr>
        <w:t>“</w:t>
      </w:r>
      <w:r w:rsidR="008650F4" w:rsidRPr="006A612F">
        <w:rPr>
          <w:shd w:val="clear" w:color="auto" w:fill="FFFFFF"/>
        </w:rPr>
        <w:t>C</w:t>
      </w:r>
      <w:r w:rsidRPr="006A612F">
        <w:rPr>
          <w:shd w:val="clear" w:color="auto" w:fill="FFFFFF"/>
        </w:rPr>
        <w:t>ops don</w:t>
      </w:r>
      <w:r w:rsidR="00BF278E" w:rsidRPr="006A612F">
        <w:rPr>
          <w:shd w:val="clear" w:color="auto" w:fill="FFFFFF"/>
        </w:rPr>
        <w:t>’</w:t>
      </w:r>
      <w:r w:rsidRPr="006A612F">
        <w:rPr>
          <w:shd w:val="clear" w:color="auto" w:fill="FFFFFF"/>
        </w:rPr>
        <w:t>t rat on cops.</w:t>
      </w:r>
      <w:r w:rsidR="00BF278E" w:rsidRPr="006A612F">
        <w:rPr>
          <w:shd w:val="clear" w:color="auto" w:fill="FFFFFF"/>
        </w:rPr>
        <w:t>”</w:t>
      </w:r>
      <w:r w:rsidRPr="006A612F">
        <w:rPr>
          <w:rStyle w:val="NoterefInText"/>
        </w:rPr>
        <w:footnoteReference w:id="87"/>
      </w:r>
      <w:r w:rsidRPr="006A612F">
        <w:rPr>
          <w:shd w:val="clear" w:color="auto" w:fill="FFFFFF"/>
        </w:rPr>
        <w:t> Ironically, the nature of this particular code</w:t>
      </w:r>
      <w:r w:rsidR="008978FB" w:rsidRPr="006A612F">
        <w:rPr>
          <w:shd w:val="clear" w:color="auto" w:fill="FFFFFF"/>
        </w:rPr>
        <w:t>—</w:t>
      </w:r>
      <w:r w:rsidRPr="006A612F">
        <w:rPr>
          <w:shd w:val="clear" w:color="auto" w:fill="FFFFFF"/>
        </w:rPr>
        <w:t>a code of silence</w:t>
      </w:r>
      <w:r w:rsidR="008978FB" w:rsidRPr="006A612F">
        <w:rPr>
          <w:shd w:val="clear" w:color="auto" w:fill="FFFFFF"/>
        </w:rPr>
        <w:t>—</w:t>
      </w:r>
      <w:r w:rsidRPr="006A612F">
        <w:rPr>
          <w:shd w:val="clear" w:color="auto" w:fill="FFFFFF"/>
        </w:rPr>
        <w:t>makes it difficult to assess its breadth.</w:t>
      </w:r>
      <w:r w:rsidR="006A559C" w:rsidRPr="006A612F">
        <w:rPr>
          <w:shd w:val="clear" w:color="auto" w:fill="FFFFFF"/>
        </w:rPr>
        <w:t xml:space="preserve"> </w:t>
      </w:r>
      <w:r w:rsidRPr="006A612F">
        <w:rPr>
          <w:shd w:val="clear" w:color="auto" w:fill="FFFFFF"/>
        </w:rPr>
        <w:t>Nevertheless, it is a well-documented trend.</w:t>
      </w:r>
      <w:r w:rsidRPr="006A612F">
        <w:rPr>
          <w:rStyle w:val="NoterefInText"/>
        </w:rPr>
        <w:footnoteReference w:id="88"/>
      </w:r>
      <w:r w:rsidR="006A559C" w:rsidRPr="006A612F">
        <w:rPr>
          <w:shd w:val="clear" w:color="auto" w:fill="FFFFFF"/>
        </w:rPr>
        <w:t xml:space="preserve"> </w:t>
      </w:r>
    </w:p>
    <w:p w14:paraId="0BB90B57" w14:textId="08381D6A" w:rsidR="00F70B74" w:rsidRPr="006A612F" w:rsidRDefault="00F70B74" w:rsidP="00AA6ED0">
      <w:pPr>
        <w:pStyle w:val="Document"/>
        <w:spacing w:line="240" w:lineRule="auto"/>
        <w:rPr>
          <w:shd w:val="clear" w:color="auto" w:fill="FFFFFF"/>
        </w:rPr>
      </w:pPr>
      <w:r w:rsidRPr="006A612F">
        <w:t>The blue wall of silence has been traced back to the 1840s, when the first organized police forces were developed in larger cities.</w:t>
      </w:r>
      <w:r w:rsidRPr="006A612F">
        <w:rPr>
          <w:rStyle w:val="NoterefInText"/>
        </w:rPr>
        <w:footnoteReference w:id="89"/>
      </w:r>
      <w:r w:rsidR="006A559C" w:rsidRPr="006A612F">
        <w:t xml:space="preserve"> </w:t>
      </w:r>
      <w:r w:rsidRPr="006A612F">
        <w:t>As Professor Gil</w:t>
      </w:r>
      <w:r w:rsidR="00AD6D3F" w:rsidRPr="006A612F">
        <w:t>l</w:t>
      </w:r>
      <w:r w:rsidRPr="006A612F">
        <w:t>es explains</w:t>
      </w:r>
      <w:r w:rsidR="00512CEE" w:rsidRPr="006A612F">
        <w:t>:</w:t>
      </w:r>
      <w:r w:rsidRPr="006A612F">
        <w:t xml:space="preserve"> </w:t>
      </w:r>
      <w:r w:rsidR="00BF278E" w:rsidRPr="006A612F">
        <w:t>“</w:t>
      </w:r>
      <w:r w:rsidR="00512CEE" w:rsidRPr="006A612F">
        <w:rPr>
          <w:shd w:val="clear" w:color="auto" w:fill="FFFFFF"/>
        </w:rPr>
        <w:t>H</w:t>
      </w:r>
      <w:r w:rsidRPr="006A612F">
        <w:rPr>
          <w:shd w:val="clear" w:color="auto" w:fill="FFFFFF"/>
        </w:rPr>
        <w:t>istorically, the code of silence protected the traditional corruption racket.</w:t>
      </w:r>
      <w:r w:rsidR="006A559C" w:rsidRPr="006A612F">
        <w:rPr>
          <w:shd w:val="clear" w:color="auto" w:fill="FFFFFF"/>
        </w:rPr>
        <w:t xml:space="preserve"> </w:t>
      </w:r>
      <w:r w:rsidRPr="006A612F">
        <w:rPr>
          <w:shd w:val="clear" w:color="auto" w:fill="FFFFFF"/>
        </w:rPr>
        <w:t>Today, the code of silence protects officers who violate civil rights through violence and other misconduct.</w:t>
      </w:r>
      <w:r w:rsidR="00BF278E" w:rsidRPr="006A612F">
        <w:rPr>
          <w:shd w:val="clear" w:color="auto" w:fill="FFFFFF"/>
        </w:rPr>
        <w:t>”</w:t>
      </w:r>
      <w:r w:rsidRPr="006A612F">
        <w:rPr>
          <w:rStyle w:val="NoterefInText"/>
        </w:rPr>
        <w:footnoteReference w:id="90"/>
      </w:r>
      <w:r w:rsidR="006A559C" w:rsidRPr="006A612F">
        <w:rPr>
          <w:b/>
          <w:shd w:val="clear" w:color="auto" w:fill="FFFFFF"/>
        </w:rPr>
        <w:t xml:space="preserve"> </w:t>
      </w:r>
      <w:r w:rsidRPr="006A612F">
        <w:t>Additionally, the blue wall sometimes requires that officers not just stand mute, but that they lie to protect their fellow officers.</w:t>
      </w:r>
      <w:bookmarkStart w:id="8" w:name="_Ref88439592"/>
      <w:r w:rsidRPr="006A612F">
        <w:rPr>
          <w:rStyle w:val="NoterefInText"/>
        </w:rPr>
        <w:footnoteReference w:id="91"/>
      </w:r>
      <w:bookmarkEnd w:id="8"/>
      <w:r w:rsidR="006A559C" w:rsidRPr="006A612F">
        <w:t xml:space="preserve"> </w:t>
      </w:r>
    </w:p>
    <w:p w14:paraId="54F4CD77" w14:textId="60D7DBCB" w:rsidR="00F70B74" w:rsidRPr="006A612F" w:rsidRDefault="00F70B74" w:rsidP="00AA6ED0">
      <w:pPr>
        <w:pStyle w:val="Document"/>
        <w:spacing w:line="240" w:lineRule="auto"/>
        <w:rPr>
          <w:shd w:val="clear" w:color="auto" w:fill="FFFFFF"/>
        </w:rPr>
      </w:pPr>
      <w:r w:rsidRPr="006A612F">
        <w:t>The blue wall is constructed from a combination of loyalty and fear. Police officials are intensely loyal to one another.</w:t>
      </w:r>
      <w:r w:rsidRPr="006A612F">
        <w:rPr>
          <w:rStyle w:val="NoterefInText"/>
        </w:rPr>
        <w:footnoteReference w:id="92"/>
      </w:r>
      <w:r w:rsidR="006A559C" w:rsidRPr="006A612F">
        <w:t xml:space="preserve"> </w:t>
      </w:r>
      <w:r w:rsidRPr="006A612F">
        <w:t xml:space="preserve">Trust and loyalty </w:t>
      </w:r>
      <w:r w:rsidR="00E93A88" w:rsidRPr="006A612F">
        <w:t xml:space="preserve">are </w:t>
      </w:r>
      <w:r w:rsidRPr="006A612F">
        <w:t>critical to their effectiveness.</w:t>
      </w:r>
      <w:r w:rsidRPr="006A612F">
        <w:rPr>
          <w:rStyle w:val="NoterefInText"/>
        </w:rPr>
        <w:footnoteReference w:id="93"/>
      </w:r>
      <w:r w:rsidRPr="006A612F">
        <w:t xml:space="preserve"> </w:t>
      </w:r>
      <w:r w:rsidR="00BF278E" w:rsidRPr="006A612F">
        <w:t>“</w:t>
      </w:r>
      <w:r w:rsidRPr="006A612F">
        <w:rPr>
          <w:shd w:val="clear" w:color="auto" w:fill="FFFFFF"/>
        </w:rPr>
        <w:t>Without loyalty and camaraderie, law enforcement personnel would be ineffective as they would likely be reluctant to put themselves in harm</w:t>
      </w:r>
      <w:r w:rsidR="00BF278E" w:rsidRPr="006A612F">
        <w:rPr>
          <w:shd w:val="clear" w:color="auto" w:fill="FFFFFF"/>
        </w:rPr>
        <w:t>’</w:t>
      </w:r>
      <w:r w:rsidRPr="006A612F">
        <w:rPr>
          <w:shd w:val="clear" w:color="auto" w:fill="FFFFFF"/>
        </w:rPr>
        <w:t>s way.</w:t>
      </w:r>
      <w:r w:rsidR="00BF278E" w:rsidRPr="006A612F">
        <w:rPr>
          <w:shd w:val="clear" w:color="auto" w:fill="FFFFFF"/>
        </w:rPr>
        <w:t>”</w:t>
      </w:r>
      <w:r w:rsidRPr="006A612F">
        <w:rPr>
          <w:rStyle w:val="NoterefInText"/>
        </w:rPr>
        <w:footnoteReference w:id="94"/>
      </w:r>
      <w:r w:rsidR="006A559C" w:rsidRPr="006A612F">
        <w:rPr>
          <w:shd w:val="clear" w:color="auto" w:fill="FFFFFF"/>
        </w:rPr>
        <w:t xml:space="preserve"> </w:t>
      </w:r>
      <w:r w:rsidRPr="006A612F">
        <w:rPr>
          <w:shd w:val="clear" w:color="auto" w:fill="FFFFFF"/>
        </w:rPr>
        <w:t>An officer who chooses to report a peer</w:t>
      </w:r>
      <w:r w:rsidR="00BF278E" w:rsidRPr="006A612F">
        <w:rPr>
          <w:shd w:val="clear" w:color="auto" w:fill="FFFFFF"/>
        </w:rPr>
        <w:t>’</w:t>
      </w:r>
      <w:r w:rsidRPr="006A612F">
        <w:rPr>
          <w:shd w:val="clear" w:color="auto" w:fill="FFFFFF"/>
        </w:rPr>
        <w:t xml:space="preserve">s </w:t>
      </w:r>
      <w:r w:rsidRPr="006A612F">
        <w:rPr>
          <w:shd w:val="clear" w:color="auto" w:fill="FFFFFF"/>
        </w:rPr>
        <w:lastRenderedPageBreak/>
        <w:t>misdeeds will likely be viewed as disloyal by fellow officers.</w:t>
      </w:r>
      <w:r w:rsidRPr="006A612F">
        <w:rPr>
          <w:rStyle w:val="NoterefInText"/>
        </w:rPr>
        <w:footnoteReference w:id="95"/>
      </w:r>
      <w:r w:rsidR="006A559C" w:rsidRPr="006A612F">
        <w:rPr>
          <w:shd w:val="clear" w:color="auto" w:fill="FFFFFF"/>
        </w:rPr>
        <w:t xml:space="preserve"> </w:t>
      </w:r>
      <w:r w:rsidRPr="006A612F">
        <w:rPr>
          <w:shd w:val="clear" w:color="auto" w:fill="FFFFFF"/>
        </w:rPr>
        <w:t>In short, loyalty can lead to silence.</w:t>
      </w:r>
      <w:r w:rsidRPr="006A612F">
        <w:rPr>
          <w:rStyle w:val="NoterefInText"/>
        </w:rPr>
        <w:footnoteReference w:id="96"/>
      </w:r>
    </w:p>
    <w:p w14:paraId="4E7B3321" w14:textId="5F6188F1" w:rsidR="00F70B74" w:rsidRPr="006A612F" w:rsidRDefault="00F70B74" w:rsidP="00AA6ED0">
      <w:pPr>
        <w:pStyle w:val="Document"/>
        <w:spacing w:line="240" w:lineRule="auto"/>
        <w:rPr>
          <w:shd w:val="clear" w:color="auto" w:fill="FFFFFF"/>
        </w:rPr>
      </w:pPr>
      <w:r w:rsidRPr="006A612F">
        <w:rPr>
          <w:shd w:val="clear" w:color="auto" w:fill="FFFFFF"/>
        </w:rPr>
        <w:t>And if loyalty is not incentive enough for officers to remain silent, fear also provides a powerful motivation.</w:t>
      </w:r>
      <w:r w:rsidR="006A559C" w:rsidRPr="006A612F">
        <w:rPr>
          <w:shd w:val="clear" w:color="auto" w:fill="FFFFFF"/>
        </w:rPr>
        <w:t xml:space="preserve"> </w:t>
      </w:r>
      <w:r w:rsidRPr="006A612F">
        <w:rPr>
          <w:shd w:val="clear" w:color="auto" w:fill="FFFFFF"/>
        </w:rPr>
        <w:t>Professor Magee offers the following explanation:</w:t>
      </w:r>
    </w:p>
    <w:p w14:paraId="6765651C" w14:textId="77EB0C13" w:rsidR="00F70B74" w:rsidRPr="006A612F" w:rsidRDefault="00F70B74" w:rsidP="00AA6ED0">
      <w:pPr>
        <w:pStyle w:val="1StQuoteTXT"/>
        <w:spacing w:line="240" w:lineRule="auto"/>
      </w:pPr>
      <w:r w:rsidRPr="006A612F">
        <w:rPr>
          <w:shd w:val="clear" w:color="auto" w:fill="FFFFFF"/>
        </w:rPr>
        <w:t>Police organizations impose severe consequences on those officers who violate the code.</w:t>
      </w:r>
      <w:r w:rsidR="0091191F" w:rsidRPr="006A612F">
        <w:rPr>
          <w:shd w:val="clear" w:color="auto" w:fill="FFFFFF"/>
        </w:rPr>
        <w:t xml:space="preserve"> </w:t>
      </w:r>
      <w:r w:rsidR="00BF278E" w:rsidRPr="006A612F">
        <w:rPr>
          <w:shd w:val="clear" w:color="auto" w:fill="FFFFFF"/>
        </w:rPr>
        <w:t>“</w:t>
      </w:r>
      <w:r w:rsidRPr="006A612F">
        <w:rPr>
          <w:shd w:val="clear" w:color="auto" w:fill="FFFFFF"/>
        </w:rPr>
        <w:t>They are ostracized</w:t>
      </w:r>
      <w:r w:rsidR="0091191F" w:rsidRPr="006A612F">
        <w:rPr>
          <w:shd w:val="clear" w:color="auto" w:fill="FFFFFF"/>
        </w:rPr>
        <w:t xml:space="preserve"> </w:t>
      </w:r>
      <w:r w:rsidRPr="006A612F">
        <w:rPr>
          <w:shd w:val="clear" w:color="auto" w:fill="FFFFFF"/>
        </w:rPr>
        <w:t>and harassed; become targets of complaints and even physical threats; and fear that they will be left on their own when they most need help on the street.</w:t>
      </w:r>
      <w:r w:rsidR="00BF278E" w:rsidRPr="006A612F">
        <w:rPr>
          <w:shd w:val="clear" w:color="auto" w:fill="FFFFFF"/>
        </w:rPr>
        <w:t>”</w:t>
      </w:r>
      <w:r w:rsidR="0091191F" w:rsidRPr="006A612F">
        <w:rPr>
          <w:shd w:val="clear" w:color="auto" w:fill="FFFFFF"/>
        </w:rPr>
        <w:t xml:space="preserve"> </w:t>
      </w:r>
      <w:r w:rsidRPr="006A612F">
        <w:rPr>
          <w:shd w:val="clear" w:color="auto" w:fill="FFFFFF"/>
        </w:rPr>
        <w:t>Because of the severity of the possible repercussions for violating this code, many officers ignore wrongdoing within their departments and among their fellow officers.</w:t>
      </w:r>
      <w:r w:rsidR="0091191F" w:rsidRPr="006A612F">
        <w:rPr>
          <w:shd w:val="clear" w:color="auto" w:fill="FFFFFF"/>
        </w:rPr>
        <w:t xml:space="preserve"> </w:t>
      </w:r>
      <w:r w:rsidRPr="006A612F">
        <w:rPr>
          <w:shd w:val="clear" w:color="auto" w:fill="FFFFFF"/>
        </w:rPr>
        <w:t>The code governs the low-level officers, supervisors, and even permeates internal affairs units that have been specifically charged with exposing police corruption.</w:t>
      </w:r>
      <w:r w:rsidRPr="006A612F">
        <w:rPr>
          <w:rStyle w:val="NoterefInText"/>
        </w:rPr>
        <w:footnoteReference w:id="97"/>
      </w:r>
    </w:p>
    <w:p w14:paraId="37E4C122" w14:textId="4B7C6DE9" w:rsidR="00F70B74" w:rsidRPr="006A612F" w:rsidRDefault="00F70B74" w:rsidP="00AA6ED0">
      <w:pPr>
        <w:pStyle w:val="Document"/>
        <w:spacing w:line="240" w:lineRule="auto"/>
      </w:pPr>
      <w:r w:rsidRPr="006A612F">
        <w:t>The blue wall can obstruct truth and justice.</w:t>
      </w:r>
      <w:r w:rsidR="006A559C" w:rsidRPr="006A612F">
        <w:t xml:space="preserve"> </w:t>
      </w:r>
      <w:r w:rsidRPr="006A612F">
        <w:t xml:space="preserve">In 1991, the Independent Commission on the Los Angeles Police Department summarized the depth of the problem: </w:t>
      </w:r>
      <w:r w:rsidR="00BF278E" w:rsidRPr="006A612F">
        <w:t>“</w:t>
      </w:r>
      <w:r w:rsidRPr="006A612F">
        <w:t>Perhaps the greatest single barrier to effective investigation and adjudication of complaints is the officer</w:t>
      </w:r>
      <w:r w:rsidR="00BF278E" w:rsidRPr="006A612F">
        <w:t>’</w:t>
      </w:r>
      <w:r w:rsidRPr="006A612F">
        <w:t xml:space="preserve">s unwritten </w:t>
      </w:r>
      <w:r w:rsidR="00BF278E" w:rsidRPr="006A612F">
        <w:t>‘</w:t>
      </w:r>
      <w:r w:rsidRPr="006A612F">
        <w:t>code of silence</w:t>
      </w:r>
      <w:r w:rsidR="00CB039F" w:rsidRPr="006A612F">
        <w:t>.</w:t>
      </w:r>
      <w:r w:rsidR="00BF278E" w:rsidRPr="006A612F">
        <w:t>’</w:t>
      </w:r>
      <w:r w:rsidR="008037C3" w:rsidRPr="006A612F">
        <w:t> </w:t>
      </w:r>
      <w:r w:rsidR="00BF278E" w:rsidRPr="006A612F">
        <w:t>. . .</w:t>
      </w:r>
      <w:r w:rsidR="00282A5A" w:rsidRPr="006A612F">
        <w:t xml:space="preserve"> </w:t>
      </w:r>
      <w:r w:rsidR="004651F3" w:rsidRPr="006A612F">
        <w:t xml:space="preserve">[The code] consists of one simple rule: </w:t>
      </w:r>
      <w:r w:rsidRPr="006A612F">
        <w:t>an officer does not provide adverse information against a fellow officer.</w:t>
      </w:r>
      <w:r w:rsidR="00BF278E" w:rsidRPr="006A612F">
        <w:t>”</w:t>
      </w:r>
      <w:bookmarkStart w:id="9" w:name="_Ref87805144"/>
      <w:r w:rsidR="000D02DC" w:rsidRPr="006A612F">
        <w:rPr>
          <w:rStyle w:val="NoterefInText"/>
        </w:rPr>
        <w:footnoteReference w:id="98"/>
      </w:r>
      <w:bookmarkEnd w:id="9"/>
    </w:p>
    <w:p w14:paraId="5DD206A6" w14:textId="17F85080" w:rsidR="00F70B74" w:rsidRPr="006A612F" w:rsidRDefault="00F70B74" w:rsidP="00AA6ED0">
      <w:pPr>
        <w:pStyle w:val="Document"/>
        <w:spacing w:line="240" w:lineRule="auto"/>
      </w:pPr>
      <w:r w:rsidRPr="006A612F">
        <w:t>Equally important, police officials are rarely sanctioned for participating in the blue wall of silence.</w:t>
      </w:r>
      <w:r w:rsidR="006A559C" w:rsidRPr="006A612F">
        <w:t xml:space="preserve"> </w:t>
      </w:r>
      <w:r w:rsidRPr="006A612F">
        <w:t>For example, when Ray Tensing shot and killed Samuel Du</w:t>
      </w:r>
      <w:r w:rsidR="007B0910" w:rsidRPr="006A612F">
        <w:t>B</w:t>
      </w:r>
      <w:r w:rsidRPr="006A612F">
        <w:t>ose in 2015</w:t>
      </w:r>
      <w:r w:rsidR="00074DAE" w:rsidRPr="006A612F">
        <w:t>,</w:t>
      </w:r>
      <w:r w:rsidRPr="006A612F">
        <w:t xml:space="preserve"> he claimed that he was being dragged by the vehicle and had to fire his weapon.</w:t>
      </w:r>
      <w:bookmarkStart w:id="10" w:name="_Ref87805078"/>
      <w:r w:rsidRPr="006A612F">
        <w:rPr>
          <w:rStyle w:val="NoterefInText"/>
        </w:rPr>
        <w:footnoteReference w:id="99"/>
      </w:r>
      <w:bookmarkEnd w:id="10"/>
      <w:r w:rsidRPr="006A612F">
        <w:t xml:space="preserve"> His fellow officer, Phillip Kidd, corroborated his story.</w:t>
      </w:r>
      <w:bookmarkStart w:id="11" w:name="_Ref92812407"/>
      <w:r w:rsidRPr="006A612F">
        <w:rPr>
          <w:rStyle w:val="NoterefInText"/>
        </w:rPr>
        <w:footnoteReference w:id="100"/>
      </w:r>
      <w:bookmarkEnd w:id="11"/>
      <w:r w:rsidRPr="006A612F">
        <w:t xml:space="preserve"> Kidd reported that he saw Tensing being dragged by the victim</w:t>
      </w:r>
      <w:r w:rsidR="00BF278E" w:rsidRPr="006A612F">
        <w:t>’</w:t>
      </w:r>
      <w:r w:rsidRPr="006A612F">
        <w:t>s car and</w:t>
      </w:r>
      <w:r w:rsidR="00B040DA" w:rsidRPr="006A612F">
        <w:t xml:space="preserve"> that</w:t>
      </w:r>
      <w:r w:rsidRPr="006A612F">
        <w:t>, in response, Tensing fired a single shot.</w:t>
      </w:r>
      <w:r w:rsidRPr="006A612F">
        <w:rPr>
          <w:rStyle w:val="NoterefInText"/>
        </w:rPr>
        <w:footnoteReference w:id="101"/>
      </w:r>
      <w:r w:rsidRPr="006A612F">
        <w:t xml:space="preserve"> Tensing</w:t>
      </w:r>
      <w:r w:rsidR="00BF278E" w:rsidRPr="006A612F">
        <w:t>’</w:t>
      </w:r>
      <w:r w:rsidRPr="006A612F">
        <w:t xml:space="preserve">s body camera </w:t>
      </w:r>
      <w:r w:rsidRPr="006A612F">
        <w:lastRenderedPageBreak/>
        <w:t>documented the incident</w:t>
      </w:r>
      <w:r w:rsidR="00B57E25" w:rsidRPr="006A612F">
        <w:t>,</w:t>
      </w:r>
      <w:r w:rsidRPr="006A612F">
        <w:t xml:space="preserve"> and it showed that Du</w:t>
      </w:r>
      <w:r w:rsidR="00C37E26" w:rsidRPr="006A612F">
        <w:t>B</w:t>
      </w:r>
      <w:r w:rsidRPr="006A612F">
        <w:t>ose neither threatened nor harmed the officer.</w:t>
      </w:r>
      <w:r w:rsidRPr="006A612F">
        <w:rPr>
          <w:rStyle w:val="NoterefInText"/>
        </w:rPr>
        <w:footnoteReference w:id="102"/>
      </w:r>
      <w:r w:rsidRPr="006A612F">
        <w:t xml:space="preserve"> Eleven days after the shooting, the Hamilton County prosecutor indicted Tensing on murder charges, explaining that Tensing</w:t>
      </w:r>
      <w:r w:rsidR="00BF278E" w:rsidRPr="006A612F">
        <w:t>’</w:t>
      </w:r>
      <w:r w:rsidRPr="006A612F">
        <w:t>s initial account had been fabricated.</w:t>
      </w:r>
      <w:r w:rsidRPr="006A612F">
        <w:rPr>
          <w:rStyle w:val="NoterefInText"/>
        </w:rPr>
        <w:footnoteReference w:id="103"/>
      </w:r>
      <w:r w:rsidRPr="006A612F">
        <w:t xml:space="preserve"> The officer</w:t>
      </w:r>
      <w:r w:rsidR="00F55481" w:rsidRPr="006A612F">
        <w:t>s</w:t>
      </w:r>
      <w:r w:rsidRPr="006A612F">
        <w:t xml:space="preserve"> who corroborated Tensing</w:t>
      </w:r>
      <w:r w:rsidR="00BF278E" w:rsidRPr="006A612F">
        <w:t>’</w:t>
      </w:r>
      <w:r w:rsidRPr="006A612F">
        <w:t>s false account w</w:t>
      </w:r>
      <w:r w:rsidR="000670BC" w:rsidRPr="006A612F">
        <w:t>ere</w:t>
      </w:r>
      <w:r w:rsidRPr="006A612F">
        <w:t xml:space="preserve"> not indicted.</w:t>
      </w:r>
      <w:r w:rsidR="006A559C" w:rsidRPr="006A612F">
        <w:t xml:space="preserve"> </w:t>
      </w:r>
      <w:r w:rsidR="0038666C" w:rsidRPr="006A612F">
        <w:t>They,</w:t>
      </w:r>
      <w:r w:rsidRPr="006A612F">
        <w:t xml:space="preserve"> apparently, remain on active duty.</w:t>
      </w:r>
      <w:r w:rsidRPr="006A612F">
        <w:rPr>
          <w:rStyle w:val="NoterefInText"/>
        </w:rPr>
        <w:footnoteReference w:id="104"/>
      </w:r>
      <w:r w:rsidRPr="006A612F">
        <w:t xml:space="preserve"> Too frequently complicit officers are not sanctioned or disciplined when they perjure themselves or impede an investigation.</w:t>
      </w:r>
    </w:p>
    <w:p w14:paraId="5D55EB37" w14:textId="15CAE1E6" w:rsidR="00F70B74" w:rsidRPr="006A612F" w:rsidRDefault="00F70B74" w:rsidP="00AA6ED0">
      <w:pPr>
        <w:pStyle w:val="Document"/>
        <w:spacing w:line="240" w:lineRule="auto"/>
      </w:pPr>
      <w:r w:rsidRPr="006A612F">
        <w:t>Furthermore, the problem is not limited to police officials.</w:t>
      </w:r>
      <w:r w:rsidR="006A559C" w:rsidRPr="006A612F">
        <w:t xml:space="preserve"> </w:t>
      </w:r>
      <w:r w:rsidRPr="006A612F">
        <w:t xml:space="preserve">Police </w:t>
      </w:r>
      <w:r w:rsidRPr="006A612F">
        <w:rPr>
          <w:i/>
          <w:iCs/>
        </w:rPr>
        <w:t>departments</w:t>
      </w:r>
      <w:r w:rsidRPr="006A612F">
        <w:t xml:space="preserve"> have been known to cover up police misconduct.</w:t>
      </w:r>
      <w:r w:rsidRPr="006A612F">
        <w:rPr>
          <w:rStyle w:val="NoterefInText"/>
        </w:rPr>
        <w:footnoteReference w:id="105"/>
      </w:r>
      <w:r w:rsidR="006A559C" w:rsidRPr="006A612F">
        <w:t xml:space="preserve"> </w:t>
      </w:r>
      <w:r w:rsidRPr="006A612F">
        <w:t>For example, following Rodney King</w:t>
      </w:r>
      <w:r w:rsidR="00BF278E" w:rsidRPr="006A612F">
        <w:t>’</w:t>
      </w:r>
      <w:r w:rsidRPr="006A612F">
        <w:t>s brutal beating by</w:t>
      </w:r>
      <w:r w:rsidR="00F3019D" w:rsidRPr="006A612F">
        <w:t xml:space="preserve"> the</w:t>
      </w:r>
      <w:r w:rsidRPr="006A612F">
        <w:t xml:space="preserve"> LAPD,</w:t>
      </w:r>
      <w:r w:rsidRPr="006A612F">
        <w:rPr>
          <w:rStyle w:val="NoterefInText"/>
        </w:rPr>
        <w:footnoteReference w:id="106"/>
      </w:r>
      <w:r w:rsidRPr="006A612F">
        <w:t xml:space="preserve"> George Holliday, the man who filmed the beating, and Paul King, Rodney King</w:t>
      </w:r>
      <w:r w:rsidR="00BF278E" w:rsidRPr="006A612F">
        <w:t>’</w:t>
      </w:r>
      <w:r w:rsidRPr="006A612F">
        <w:t>s brother, went to police to file a police</w:t>
      </w:r>
      <w:r w:rsidR="00B34439" w:rsidRPr="006A612F">
        <w:t>-</w:t>
      </w:r>
      <w:r w:rsidRPr="006A612F">
        <w:t xml:space="preserve">brutality report and </w:t>
      </w:r>
      <w:r w:rsidR="000D52AA" w:rsidRPr="006A612F">
        <w:t xml:space="preserve">to </w:t>
      </w:r>
      <w:r w:rsidRPr="006A612F">
        <w:t>turn over the video.</w:t>
      </w:r>
      <w:r w:rsidRPr="006A612F">
        <w:rPr>
          <w:rStyle w:val="NoterefInText"/>
        </w:rPr>
        <w:footnoteReference w:id="107"/>
      </w:r>
      <w:r w:rsidRPr="006A612F">
        <w:t xml:space="preserve"> It was only after they largely were ignored by police officials that they decided to take the tape to the media.</w:t>
      </w:r>
      <w:r w:rsidRPr="006A612F">
        <w:rPr>
          <w:rStyle w:val="NoterefInText"/>
        </w:rPr>
        <w:footnoteReference w:id="108"/>
      </w:r>
      <w:r w:rsidRPr="006A612F">
        <w:t xml:space="preserve"> Around the time of King</w:t>
      </w:r>
      <w:r w:rsidR="00BF278E" w:rsidRPr="006A612F">
        <w:t>’</w:t>
      </w:r>
      <w:r w:rsidRPr="006A612F">
        <w:t xml:space="preserve">s beating, the city of Los Angeles had a weak record of prosecutions for police brutality, as only 42 out </w:t>
      </w:r>
      <w:r w:rsidR="000670BC" w:rsidRPr="006A612F">
        <w:t xml:space="preserve">of </w:t>
      </w:r>
      <w:r w:rsidRPr="006A612F">
        <w:t>2,152 allegations were sustained, and citizens were actively discouraged to file complaints.</w:t>
      </w:r>
      <w:r w:rsidRPr="006A612F">
        <w:rPr>
          <w:rStyle w:val="NoterefInText"/>
        </w:rPr>
        <w:footnoteReference w:id="109"/>
      </w:r>
      <w:r w:rsidR="006A559C" w:rsidRPr="006A612F">
        <w:t xml:space="preserve"> </w:t>
      </w:r>
      <w:r w:rsidRPr="006A612F">
        <w:t>This departmental behavior is simply another way in which the blue wall of silence manifests</w:t>
      </w:r>
      <w:r w:rsidR="000670BC" w:rsidRPr="006A612F">
        <w:t xml:space="preserve"> itself</w:t>
      </w:r>
      <w:r w:rsidRPr="006A612F">
        <w:t>.</w:t>
      </w:r>
      <w:r w:rsidR="004A50F2" w:rsidRPr="006A612F">
        <w:t xml:space="preserve">  </w:t>
      </w:r>
    </w:p>
    <w:p w14:paraId="442D7FD0" w14:textId="07CBF965" w:rsidR="00F70B74" w:rsidRPr="006A612F" w:rsidRDefault="00F70B74" w:rsidP="00AA6ED0">
      <w:pPr>
        <w:pStyle w:val="Document"/>
        <w:spacing w:line="240" w:lineRule="auto"/>
      </w:pPr>
      <w:r w:rsidRPr="006A612F">
        <w:t xml:space="preserve">In fact, </w:t>
      </w:r>
      <w:r w:rsidRPr="006A612F">
        <w:rPr>
          <w:i/>
          <w:iCs/>
        </w:rPr>
        <w:t>courts</w:t>
      </w:r>
      <w:r w:rsidRPr="006A612F">
        <w:t xml:space="preserve"> are aware of police lying and ignore</w:t>
      </w:r>
      <w:r w:rsidRPr="006A612F">
        <w:rPr>
          <w:rFonts w:eastAsia="Arial Unicode MS"/>
          <w:bdr w:val="nil"/>
        </w:rPr>
        <w:t xml:space="preserve"> </w:t>
      </w:r>
      <w:r w:rsidRPr="006A612F">
        <w:rPr>
          <w:rFonts w:eastAsia="Arial Unicode MS"/>
          <w:szCs w:val="24"/>
          <w:bdr w:val="nil"/>
        </w:rPr>
        <w:t>t</w:t>
      </w:r>
      <w:r w:rsidRPr="006A612F">
        <w:t>hese misbehaviors.</w:t>
      </w:r>
      <w:r w:rsidRPr="006A612F">
        <w:rPr>
          <w:rStyle w:val="NoterefInText"/>
        </w:rPr>
        <w:footnoteReference w:id="110"/>
      </w:r>
      <w:r w:rsidRPr="006A612F">
        <w:t xml:space="preserve"> Alan Dershowitz once commented</w:t>
      </w:r>
      <w:r w:rsidR="00566758" w:rsidRPr="006A612F">
        <w:t>:</w:t>
      </w:r>
    </w:p>
    <w:p w14:paraId="208D1872" w14:textId="28A6F692" w:rsidR="00F70B74" w:rsidRPr="006A612F" w:rsidRDefault="00F70B74" w:rsidP="00AA6ED0">
      <w:pPr>
        <w:pStyle w:val="1StQuoteTXT"/>
        <w:spacing w:line="240" w:lineRule="auto"/>
      </w:pPr>
      <w:r w:rsidRPr="006A612F">
        <w:lastRenderedPageBreak/>
        <w:t>I have seen trial judges pretend to believe officers whose testimony is contradicted by common sense, documentary evidence and even unambiguous tape recordings</w:t>
      </w:r>
      <w:r w:rsidR="00BF278E" w:rsidRPr="006A612F">
        <w:t>. . . .</w:t>
      </w:r>
      <w:r w:rsidRPr="006A612F">
        <w:t xml:space="preserve"> Some judges refuse to close their eyes to perjury, but they are the rare exception to the rule of blindness, deafness and muteness that guides the vast majority of judges and prosecutors.</w:t>
      </w:r>
      <w:r w:rsidRPr="006A612F">
        <w:rPr>
          <w:rStyle w:val="NoterefInText"/>
        </w:rPr>
        <w:footnoteReference w:id="111"/>
      </w:r>
    </w:p>
    <w:p w14:paraId="5FEF84A2" w14:textId="09537FD0" w:rsidR="00F70B74" w:rsidRPr="006A612F" w:rsidRDefault="00F70B74" w:rsidP="00AA6ED0">
      <w:pPr>
        <w:pStyle w:val="Document"/>
        <w:spacing w:line="240" w:lineRule="auto"/>
      </w:pPr>
      <w:r w:rsidRPr="006A612F">
        <w:rPr>
          <w:color w:val="000000"/>
        </w:rPr>
        <w:t>In short, the blue wall of silence is a deeply engrained norm.</w:t>
      </w:r>
      <w:r w:rsidR="006A559C" w:rsidRPr="006A612F">
        <w:rPr>
          <w:color w:val="000000"/>
        </w:rPr>
        <w:t xml:space="preserve"> </w:t>
      </w:r>
      <w:r w:rsidRPr="006A612F">
        <w:rPr>
          <w:color w:val="000000"/>
        </w:rPr>
        <w:t>Its consequences extend beyond the walls of police precincts</w:t>
      </w:r>
      <w:r w:rsidR="00046690" w:rsidRPr="006A612F">
        <w:rPr>
          <w:color w:val="000000"/>
        </w:rPr>
        <w:t>;</w:t>
      </w:r>
      <w:r w:rsidRPr="006A612F">
        <w:rPr>
          <w:color w:val="000000"/>
        </w:rPr>
        <w:t xml:space="preserve"> they extend to courtrooms and our judicial processes.</w:t>
      </w:r>
      <w:r w:rsidR="006A559C" w:rsidRPr="006A612F">
        <w:rPr>
          <w:color w:val="000000"/>
        </w:rPr>
        <w:t xml:space="preserve"> </w:t>
      </w:r>
    </w:p>
    <w:p w14:paraId="02C0360A" w14:textId="2C3039DB" w:rsidR="00F70B74" w:rsidRPr="006A612F" w:rsidRDefault="00166D0D" w:rsidP="00AA6ED0">
      <w:pPr>
        <w:pStyle w:val="SubHead1"/>
        <w:spacing w:line="240" w:lineRule="auto"/>
      </w:pPr>
      <w:r w:rsidRPr="006A612F">
        <w:t>II.</w:t>
      </w:r>
      <w:r w:rsidRPr="006A612F">
        <w:tab/>
      </w:r>
      <w:r w:rsidR="00F70B74" w:rsidRPr="006A612F">
        <w:t>Section 1983 Causation</w:t>
      </w:r>
    </w:p>
    <w:p w14:paraId="22E5C26D" w14:textId="32DB7508" w:rsidR="00F70B74" w:rsidRPr="006A612F" w:rsidRDefault="00F70B74" w:rsidP="00AA6ED0">
      <w:pPr>
        <w:pStyle w:val="Document"/>
        <w:spacing w:line="240" w:lineRule="auto"/>
      </w:pPr>
      <w:r w:rsidRPr="006A612F">
        <w:t>Section 1983 provides a federal civil remedy to persons deprived of a federally protected right.</w:t>
      </w:r>
      <w:r w:rsidR="00457A58" w:rsidRPr="006A612F">
        <w:rPr>
          <w:rStyle w:val="NoterefInText"/>
        </w:rPr>
        <w:footnoteReference w:id="112"/>
      </w:r>
      <w:r w:rsidR="006A559C" w:rsidRPr="006A612F">
        <w:t xml:space="preserve"> </w:t>
      </w:r>
      <w:r w:rsidRPr="006A612F">
        <w:t xml:space="preserve">Frequently, courts will describe § 1983 claims as consisting of two elements: (1) deprivation of a federal right (2) by a person acting </w:t>
      </w:r>
      <w:r w:rsidR="00BF278E" w:rsidRPr="006A612F">
        <w:t>“</w:t>
      </w:r>
      <w:r w:rsidRPr="006A612F">
        <w:t xml:space="preserve">under color of </w:t>
      </w:r>
      <w:r w:rsidR="009913D6" w:rsidRPr="006A612F">
        <w:t xml:space="preserve">state </w:t>
      </w:r>
      <w:r w:rsidRPr="006A612F">
        <w:t>law.</w:t>
      </w:r>
      <w:r w:rsidR="00BF278E" w:rsidRPr="006A612F">
        <w:t>”</w:t>
      </w:r>
      <w:r w:rsidRPr="006A612F">
        <w:rPr>
          <w:rStyle w:val="NoterefInText"/>
        </w:rPr>
        <w:footnoteReference w:id="113"/>
      </w:r>
      <w:r w:rsidR="006A559C" w:rsidRPr="006A612F">
        <w:t xml:space="preserve"> </w:t>
      </w:r>
      <w:r w:rsidRPr="006A612F">
        <w:t>However, based upon the statutory language and surrounding litigation, it is probably more appropriate to divide §</w:t>
      </w:r>
      <w:r w:rsidR="00863B93" w:rsidRPr="006A612F">
        <w:t> </w:t>
      </w:r>
      <w:r w:rsidRPr="006A612F">
        <w:t>1983 claims into the following four separate elements</w:t>
      </w:r>
      <w:r w:rsidRPr="006A612F">
        <w:rPr>
          <w:rStyle w:val="NoterefInText"/>
        </w:rPr>
        <w:footnoteReference w:id="114"/>
      </w:r>
      <w:r w:rsidR="000670BC" w:rsidRPr="006A612F">
        <w:t>:</w:t>
      </w:r>
      <w:r w:rsidR="006A559C" w:rsidRPr="006A612F">
        <w:t xml:space="preserve"> </w:t>
      </w:r>
      <w:r w:rsidR="00F06A79" w:rsidRPr="006A612F">
        <w:t>First,</w:t>
      </w:r>
      <w:r w:rsidRPr="006A612F">
        <w:t xml:space="preserve"> </w:t>
      </w:r>
      <w:r w:rsidR="00F06A79" w:rsidRPr="006A612F">
        <w:t>t</w:t>
      </w:r>
      <w:r w:rsidRPr="006A612F">
        <w:t>he defendant is a person.</w:t>
      </w:r>
      <w:r w:rsidR="006A559C" w:rsidRPr="006A612F">
        <w:t xml:space="preserve"> </w:t>
      </w:r>
      <w:r w:rsidR="00F06A79" w:rsidRPr="006A612F">
        <w:t>Second, t</w:t>
      </w:r>
      <w:r w:rsidRPr="006A612F">
        <w:t xml:space="preserve">he defendant acted under color of law. </w:t>
      </w:r>
      <w:r w:rsidR="00F06A79" w:rsidRPr="006A612F">
        <w:t>Third, t</w:t>
      </w:r>
      <w:r w:rsidRPr="006A612F">
        <w:t xml:space="preserve">he plaintiff was deprived of a federally protected right. </w:t>
      </w:r>
      <w:r w:rsidR="00F06A79" w:rsidRPr="006A612F">
        <w:t>Fourth, t</w:t>
      </w:r>
      <w:r w:rsidRPr="006A612F">
        <w:t>he defendant subjected or caused the plaintiff to be subjected to the constitutional deprivation.</w:t>
      </w:r>
      <w:r w:rsidRPr="006A612F">
        <w:rPr>
          <w:rStyle w:val="NoterefInText"/>
        </w:rPr>
        <w:footnoteReference w:id="115"/>
      </w:r>
      <w:r w:rsidR="006A559C" w:rsidRPr="006A612F">
        <w:t xml:space="preserve"> </w:t>
      </w:r>
    </w:p>
    <w:p w14:paraId="63608A31" w14:textId="4D4C177E" w:rsidR="00F70B74" w:rsidRPr="006A612F" w:rsidRDefault="00F70B74" w:rsidP="00AA6ED0">
      <w:pPr>
        <w:pStyle w:val="Document"/>
        <w:spacing w:line="240" w:lineRule="auto"/>
        <w:rPr>
          <w:shd w:val="clear" w:color="auto" w:fill="FFFFFF"/>
        </w:rPr>
      </w:pPr>
      <w:r w:rsidRPr="006A612F">
        <w:rPr>
          <w:shd w:val="clear" w:color="auto" w:fill="FFFFFF"/>
        </w:rPr>
        <w:t>Causation is not an issue in most § 1983 cases.</w:t>
      </w:r>
      <w:r w:rsidR="006A559C" w:rsidRPr="006A612F">
        <w:rPr>
          <w:shd w:val="clear" w:color="auto" w:fill="FFFFFF"/>
        </w:rPr>
        <w:t xml:space="preserve"> </w:t>
      </w:r>
      <w:r w:rsidRPr="006A612F">
        <w:rPr>
          <w:shd w:val="clear" w:color="auto" w:fill="FFFFFF"/>
        </w:rPr>
        <w:t xml:space="preserve">As I previously have explained, </w:t>
      </w:r>
      <w:r w:rsidR="00BF278E" w:rsidRPr="006A612F">
        <w:rPr>
          <w:shd w:val="clear" w:color="auto" w:fill="FFFFFF"/>
        </w:rPr>
        <w:t>“</w:t>
      </w:r>
      <w:r w:rsidR="00CB0749" w:rsidRPr="006A612F">
        <w:rPr>
          <w:shd w:val="clear" w:color="auto" w:fill="FFFFFF"/>
        </w:rPr>
        <w:t>[</w:t>
      </w:r>
      <w:r w:rsidR="009116B7" w:rsidRPr="006A612F">
        <w:rPr>
          <w:shd w:val="clear" w:color="auto" w:fill="FFFFFF"/>
        </w:rPr>
        <w:t>w</w:t>
      </w:r>
      <w:r w:rsidR="00CB0749" w:rsidRPr="006A612F">
        <w:rPr>
          <w:shd w:val="clear" w:color="auto" w:fill="FFFFFF"/>
        </w:rPr>
        <w:t>]</w:t>
      </w:r>
      <w:r w:rsidRPr="006A612F">
        <w:rPr>
          <w:shd w:val="clear" w:color="auto" w:fill="FFFFFF"/>
        </w:rPr>
        <w:t xml:space="preserve">hen a plaintiff proves that the defendant engaged in the conduct and that the conduct violated the constitution, there is no real </w:t>
      </w:r>
      <w:r w:rsidRPr="006A612F">
        <w:rPr>
          <w:shd w:val="clear" w:color="auto" w:fill="FFFFFF"/>
        </w:rPr>
        <w:lastRenderedPageBreak/>
        <w:t>question [that] the statutory causation element has been met.</w:t>
      </w:r>
      <w:r w:rsidR="00BF278E" w:rsidRPr="006A612F">
        <w:rPr>
          <w:shd w:val="clear" w:color="auto" w:fill="FFFFFF"/>
        </w:rPr>
        <w:t>”</w:t>
      </w:r>
      <w:bookmarkStart w:id="12" w:name="_Ref88408680"/>
      <w:r w:rsidRPr="006A612F">
        <w:rPr>
          <w:rStyle w:val="NoterefInText"/>
        </w:rPr>
        <w:footnoteReference w:id="116"/>
      </w:r>
      <w:bookmarkEnd w:id="12"/>
      <w:r w:rsidRPr="006A612F">
        <w:rPr>
          <w:shd w:val="clear" w:color="auto" w:fill="FFFFFF"/>
        </w:rPr>
        <w:t xml:space="preserve"> For example, when</w:t>
      </w:r>
      <w:r w:rsidR="006A559C" w:rsidRPr="006A612F">
        <w:rPr>
          <w:shd w:val="clear" w:color="auto" w:fill="FFFFFF"/>
        </w:rPr>
        <w:t xml:space="preserve"> </w:t>
      </w:r>
      <w:r w:rsidRPr="006A612F">
        <w:rPr>
          <w:shd w:val="clear" w:color="auto" w:fill="FFFFFF"/>
        </w:rPr>
        <w:t xml:space="preserve">an identified official kicks a suspect during the course of an arrest, the question is not whether the official </w:t>
      </w:r>
      <w:r w:rsidR="00BF278E" w:rsidRPr="006A612F">
        <w:rPr>
          <w:shd w:val="clear" w:color="auto" w:fill="FFFFFF"/>
        </w:rPr>
        <w:t>“</w:t>
      </w:r>
      <w:r w:rsidRPr="006A612F">
        <w:rPr>
          <w:shd w:val="clear" w:color="auto" w:fill="FFFFFF"/>
        </w:rPr>
        <w:t>caused</w:t>
      </w:r>
      <w:r w:rsidR="00BF278E" w:rsidRPr="006A612F">
        <w:rPr>
          <w:shd w:val="clear" w:color="auto" w:fill="FFFFFF"/>
        </w:rPr>
        <w:t>”</w:t>
      </w:r>
      <w:r w:rsidRPr="006A612F">
        <w:rPr>
          <w:shd w:val="clear" w:color="auto" w:fill="FFFFFF"/>
        </w:rPr>
        <w:t xml:space="preserve"> the plaintiff to be deprived of a constitutional right; rather</w:t>
      </w:r>
      <w:r w:rsidR="0091191F" w:rsidRPr="006A612F">
        <w:rPr>
          <w:shd w:val="clear" w:color="auto" w:fill="FFFFFF"/>
        </w:rPr>
        <w:t>,</w:t>
      </w:r>
      <w:r w:rsidRPr="006A612F">
        <w:rPr>
          <w:shd w:val="clear" w:color="auto" w:fill="FFFFFF"/>
        </w:rPr>
        <w:t xml:space="preserve"> the question is whether the kick amounted to a constitutional violation at all.</w:t>
      </w:r>
      <w:r w:rsidR="006A559C" w:rsidRPr="006A612F">
        <w:rPr>
          <w:shd w:val="clear" w:color="auto" w:fill="FFFFFF"/>
        </w:rPr>
        <w:t xml:space="preserve"> </w:t>
      </w:r>
      <w:r w:rsidRPr="006A612F">
        <w:rPr>
          <w:shd w:val="clear" w:color="auto" w:fill="FFFFFF"/>
        </w:rPr>
        <w:t xml:space="preserve">However, questions of § 1983 causation do arise when the plaintiff is unable to identify who is </w:t>
      </w:r>
      <w:r w:rsidR="00BF278E" w:rsidRPr="006A612F">
        <w:rPr>
          <w:shd w:val="clear" w:color="auto" w:fill="FFFFFF"/>
        </w:rPr>
        <w:t>“</w:t>
      </w:r>
      <w:r w:rsidRPr="006A612F">
        <w:rPr>
          <w:shd w:val="clear" w:color="auto" w:fill="FFFFFF"/>
        </w:rPr>
        <w:t>directly responsible</w:t>
      </w:r>
      <w:r w:rsidR="00BF278E" w:rsidRPr="006A612F">
        <w:rPr>
          <w:shd w:val="clear" w:color="auto" w:fill="FFFFFF"/>
        </w:rPr>
        <w:t>”</w:t>
      </w:r>
      <w:r w:rsidRPr="006A612F">
        <w:rPr>
          <w:shd w:val="clear" w:color="auto" w:fill="FFFFFF"/>
        </w:rPr>
        <w:t xml:space="preserve"> for the constitutional deprivation or when the plaintiff sues someone who did not physically inflict the injury.</w:t>
      </w:r>
      <w:r w:rsidR="006A559C" w:rsidRPr="006A612F">
        <w:rPr>
          <w:shd w:val="clear" w:color="auto" w:fill="FFFFFF"/>
        </w:rPr>
        <w:t xml:space="preserve"> </w:t>
      </w:r>
    </w:p>
    <w:p w14:paraId="09A26C4B" w14:textId="052A3390" w:rsidR="00F70B74" w:rsidRPr="006A612F" w:rsidRDefault="00F70B74" w:rsidP="00AA6ED0">
      <w:pPr>
        <w:pStyle w:val="Document"/>
        <w:spacing w:line="240" w:lineRule="auto"/>
      </w:pPr>
      <w:r w:rsidRPr="006A612F">
        <w:rPr>
          <w:shd w:val="clear" w:color="auto" w:fill="FFFFFF"/>
        </w:rPr>
        <w:t xml:space="preserve">Causation questions frequently occur when § 1983 plaintiffs sue municipalities, supervisors, or bystanding officials. </w:t>
      </w:r>
      <w:r w:rsidRPr="006A612F">
        <w:t xml:space="preserve">As the Court explained in </w:t>
      </w:r>
      <w:r w:rsidRPr="006A612F">
        <w:rPr>
          <w:i/>
        </w:rPr>
        <w:t>Monell</w:t>
      </w:r>
      <w:r w:rsidRPr="006A612F">
        <w:t xml:space="preserve">, the statutory language of § 1983 </w:t>
      </w:r>
      <w:r w:rsidR="00BF278E" w:rsidRPr="006A612F">
        <w:t>“</w:t>
      </w:r>
      <w:r w:rsidRPr="006A612F">
        <w:rPr>
          <w:shd w:val="clear" w:color="auto" w:fill="FFFFFF"/>
        </w:rPr>
        <w:t>specifically provide</w:t>
      </w:r>
      <w:r w:rsidR="00BB5815" w:rsidRPr="006A612F">
        <w:rPr>
          <w:shd w:val="clear" w:color="auto" w:fill="FFFFFF"/>
        </w:rPr>
        <w:t>[</w:t>
      </w:r>
      <w:r w:rsidRPr="006A612F">
        <w:rPr>
          <w:shd w:val="clear" w:color="auto" w:fill="FFFFFF"/>
        </w:rPr>
        <w:t>d</w:t>
      </w:r>
      <w:r w:rsidR="00BB5815" w:rsidRPr="006A612F">
        <w:rPr>
          <w:shd w:val="clear" w:color="auto" w:fill="FFFFFF"/>
        </w:rPr>
        <w:t>]</w:t>
      </w:r>
      <w:r w:rsidRPr="006A612F">
        <w:rPr>
          <w:shd w:val="clear" w:color="auto" w:fill="FFFFFF"/>
        </w:rPr>
        <w:t xml:space="preserve"> that A</w:t>
      </w:r>
      <w:r w:rsidR="00BF278E" w:rsidRPr="006A612F">
        <w:rPr>
          <w:shd w:val="clear" w:color="auto" w:fill="FFFFFF"/>
        </w:rPr>
        <w:t>’</w:t>
      </w:r>
      <w:r w:rsidRPr="006A612F">
        <w:rPr>
          <w:shd w:val="clear" w:color="auto" w:fill="FFFFFF"/>
        </w:rPr>
        <w:t>s tort became B</w:t>
      </w:r>
      <w:r w:rsidR="00BF278E" w:rsidRPr="006A612F">
        <w:rPr>
          <w:shd w:val="clear" w:color="auto" w:fill="FFFFFF"/>
        </w:rPr>
        <w:t>’</w:t>
      </w:r>
      <w:r w:rsidRPr="006A612F">
        <w:rPr>
          <w:shd w:val="clear" w:color="auto" w:fill="FFFFFF"/>
        </w:rPr>
        <w:t xml:space="preserve">s liability if B </w:t>
      </w:r>
      <w:r w:rsidR="00BF278E" w:rsidRPr="006A612F">
        <w:rPr>
          <w:shd w:val="clear" w:color="auto" w:fill="FFFFFF"/>
        </w:rPr>
        <w:t>‘</w:t>
      </w:r>
      <w:r w:rsidRPr="006A612F">
        <w:rPr>
          <w:shd w:val="clear" w:color="auto" w:fill="FFFFFF"/>
        </w:rPr>
        <w:t>caused</w:t>
      </w:r>
      <w:r w:rsidR="00BF278E" w:rsidRPr="006A612F">
        <w:rPr>
          <w:shd w:val="clear" w:color="auto" w:fill="FFFFFF"/>
        </w:rPr>
        <w:t>’</w:t>
      </w:r>
      <w:r w:rsidRPr="006A612F">
        <w:rPr>
          <w:shd w:val="clear" w:color="auto" w:fill="FFFFFF"/>
        </w:rPr>
        <w:t xml:space="preserve"> A to subject another to a tort.</w:t>
      </w:r>
      <w:r w:rsidR="00BF278E" w:rsidRPr="006A612F">
        <w:rPr>
          <w:shd w:val="clear" w:color="auto" w:fill="FFFFFF"/>
        </w:rPr>
        <w:t>”</w:t>
      </w:r>
      <w:r w:rsidRPr="006A612F">
        <w:rPr>
          <w:rStyle w:val="NoterefInText"/>
        </w:rPr>
        <w:footnoteReference w:id="117"/>
      </w:r>
      <w:r w:rsidR="006A559C" w:rsidRPr="006A612F">
        <w:t xml:space="preserve"> </w:t>
      </w:r>
      <w:r w:rsidRPr="006A612F">
        <w:t xml:space="preserve">In other words, B is liable if B caused A to violate the </w:t>
      </w:r>
      <w:r w:rsidR="00510218" w:rsidRPr="006A612F">
        <w:t>C</w:t>
      </w:r>
      <w:r w:rsidRPr="006A612F">
        <w:t>onstitution.</w:t>
      </w:r>
      <w:r w:rsidR="006A559C" w:rsidRPr="006A612F">
        <w:t xml:space="preserve"> </w:t>
      </w:r>
      <w:r w:rsidRPr="006A612F">
        <w:t>The challenge, of course, is determining whether B caused another to subject the plaintiff to a constitutional deprivation.</w:t>
      </w:r>
      <w:r w:rsidRPr="006A612F">
        <w:rPr>
          <w:rStyle w:val="NoterefInText"/>
        </w:rPr>
        <w:footnoteReference w:id="118"/>
      </w:r>
      <w:r w:rsidRPr="006A612F">
        <w:t xml:space="preserve"> On one hand, </w:t>
      </w:r>
      <w:r w:rsidR="00BF278E" w:rsidRPr="006A612F">
        <w:rPr>
          <w:shd w:val="clear" w:color="auto" w:fill="FFFFFF"/>
        </w:rPr>
        <w:t>“</w:t>
      </w:r>
      <w:r w:rsidRPr="006A612F">
        <w:rPr>
          <w:shd w:val="clear" w:color="auto" w:fill="FFFFFF"/>
        </w:rPr>
        <w:t>[i]ntangible legal entities, like municipalities and corporations, at least from a practical standpoint, are incapable of action.</w:t>
      </w:r>
      <w:r w:rsidRPr="006A612F">
        <w:rPr>
          <w:vertAlign w:val="superscript"/>
        </w:rPr>
        <w:t xml:space="preserve"> </w:t>
      </w:r>
      <w:r w:rsidRPr="006A612F">
        <w:rPr>
          <w:shd w:val="clear" w:color="auto" w:fill="FFFFFF"/>
        </w:rPr>
        <w:t>Instead, a person must act on their behalf.</w:t>
      </w:r>
      <w:r w:rsidR="00BF278E" w:rsidRPr="006A612F">
        <w:rPr>
          <w:shd w:val="clear" w:color="auto" w:fill="FFFFFF"/>
        </w:rPr>
        <w:t>”</w:t>
      </w:r>
      <w:r w:rsidRPr="006A612F">
        <w:rPr>
          <w:rStyle w:val="NoterefInText"/>
        </w:rPr>
        <w:footnoteReference w:id="119"/>
      </w:r>
      <w:r w:rsidRPr="006A612F">
        <w:rPr>
          <w:shd w:val="clear" w:color="auto" w:fill="FFFFFF"/>
        </w:rPr>
        <w:t> On the other hand, t</w:t>
      </w:r>
      <w:r w:rsidRPr="006A612F">
        <w:t>echnically, every constitutional deprivation may be traced back to a municipal decision: if the municipality had not hired the tortfeasor</w:t>
      </w:r>
      <w:r w:rsidR="004C3EA5" w:rsidRPr="006A612F">
        <w:t>,</w:t>
      </w:r>
      <w:r w:rsidRPr="006A612F">
        <w:t xml:space="preserve"> then the plaintiff would not have</w:t>
      </w:r>
      <w:r w:rsidR="00943059" w:rsidRPr="006A612F">
        <w:t xml:space="preserve"> been</w:t>
      </w:r>
      <w:r w:rsidRPr="006A612F">
        <w:t xml:space="preserve"> deprived </w:t>
      </w:r>
      <w:r w:rsidR="00943059" w:rsidRPr="006A612F">
        <w:t>of a</w:t>
      </w:r>
      <w:r w:rsidRPr="006A612F">
        <w:t xml:space="preserve"> constitutional right.</w:t>
      </w:r>
      <w:r w:rsidRPr="006A612F">
        <w:rPr>
          <w:rStyle w:val="NoterefInText"/>
        </w:rPr>
        <w:footnoteReference w:id="120"/>
      </w:r>
      <w:r w:rsidR="006A559C" w:rsidRPr="006A612F">
        <w:t xml:space="preserve"> </w:t>
      </w:r>
      <w:r w:rsidRPr="006A612F">
        <w:t>Similarly, plaintiffs can argue that had the tortfeasor</w:t>
      </w:r>
      <w:r w:rsidR="00BF278E" w:rsidRPr="006A612F">
        <w:t>’</w:t>
      </w:r>
      <w:r w:rsidRPr="006A612F">
        <w:t>s supervisor or peer intervened</w:t>
      </w:r>
      <w:r w:rsidR="00B57527" w:rsidRPr="006A612F">
        <w:t>,</w:t>
      </w:r>
      <w:r w:rsidRPr="006A612F">
        <w:t xml:space="preserve"> they would not have suffered the constitutional deprivation.</w:t>
      </w:r>
      <w:r w:rsidR="006A559C" w:rsidRPr="006A612F">
        <w:t xml:space="preserve"> </w:t>
      </w:r>
      <w:r w:rsidRPr="006A612F">
        <w:t>The Court, however, has been careful not to extend §</w:t>
      </w:r>
      <w:r w:rsidR="0091191F" w:rsidRPr="006A612F">
        <w:t> </w:t>
      </w:r>
      <w:r w:rsidRPr="006A612F">
        <w:t xml:space="preserve">1983 liability based solely on </w:t>
      </w:r>
      <w:r w:rsidR="00BF278E" w:rsidRPr="006A612F">
        <w:t>“</w:t>
      </w:r>
      <w:r w:rsidRPr="006A612F">
        <w:t>but for</w:t>
      </w:r>
      <w:r w:rsidR="00BF278E" w:rsidRPr="006A612F">
        <w:t>”</w:t>
      </w:r>
      <w:r w:rsidRPr="006A612F">
        <w:t xml:space="preserve"> causation.</w:t>
      </w:r>
      <w:r w:rsidRPr="006A612F">
        <w:rPr>
          <w:rStyle w:val="NoterefInText"/>
        </w:rPr>
        <w:footnoteReference w:id="121"/>
      </w:r>
      <w:r w:rsidRPr="006A612F">
        <w:t xml:space="preserve"> Accordingly, a §</w:t>
      </w:r>
      <w:r w:rsidR="0091191F" w:rsidRPr="006A612F">
        <w:t> </w:t>
      </w:r>
      <w:r w:rsidRPr="006A612F">
        <w:t>1983 defendant cannot be liable simply because it employs, supervises, or works with a tortfeasor.</w:t>
      </w:r>
      <w:r w:rsidR="006A559C" w:rsidRPr="006A612F">
        <w:t xml:space="preserve"> </w:t>
      </w:r>
      <w:r w:rsidRPr="006A612F">
        <w:t>The question, of course, is how to distinguish among these various categories of causation cases.</w:t>
      </w:r>
      <w:r w:rsidRPr="006A612F">
        <w:rPr>
          <w:rStyle w:val="NoterefInText"/>
        </w:rPr>
        <w:footnoteReference w:id="122"/>
      </w:r>
      <w:r w:rsidR="006A559C" w:rsidRPr="006A612F">
        <w:t xml:space="preserve"> </w:t>
      </w:r>
      <w:r w:rsidRPr="006A612F">
        <w:t xml:space="preserve"> </w:t>
      </w:r>
    </w:p>
    <w:p w14:paraId="372141B4" w14:textId="2B8CC830" w:rsidR="00F70B74" w:rsidRPr="006A612F" w:rsidRDefault="00F70B74" w:rsidP="00AA6ED0">
      <w:pPr>
        <w:pStyle w:val="Document"/>
        <w:spacing w:line="240" w:lineRule="auto"/>
      </w:pPr>
      <w:r w:rsidRPr="006A612F">
        <w:lastRenderedPageBreak/>
        <w:t>Part II examines the doctrinal challenges of establishing causation in §</w:t>
      </w:r>
      <w:r w:rsidR="0091191F" w:rsidRPr="006A612F">
        <w:t> </w:t>
      </w:r>
      <w:r w:rsidRPr="006A612F">
        <w:t>1983 cases.</w:t>
      </w:r>
    </w:p>
    <w:p w14:paraId="11E262AC" w14:textId="60159902" w:rsidR="00F70B74" w:rsidRPr="006A612F" w:rsidRDefault="00F70B74" w:rsidP="00AA6ED0">
      <w:pPr>
        <w:pStyle w:val="SubHead2"/>
        <w:spacing w:line="240" w:lineRule="auto"/>
      </w:pPr>
      <w:r w:rsidRPr="006A612F">
        <w:rPr>
          <w:shd w:val="clear" w:color="auto" w:fill="FFFFFF"/>
        </w:rPr>
        <w:t>A.</w:t>
      </w:r>
      <w:r w:rsidR="00166D0D" w:rsidRPr="006A612F">
        <w:rPr>
          <w:shd w:val="clear" w:color="auto" w:fill="FFFFFF"/>
        </w:rPr>
        <w:tab/>
      </w:r>
      <w:r w:rsidRPr="006A612F">
        <w:rPr>
          <w:shd w:val="clear" w:color="auto" w:fill="FFFFFF"/>
        </w:rPr>
        <w:t>The Personal Responsibility Requirement</w:t>
      </w:r>
    </w:p>
    <w:p w14:paraId="34F01084" w14:textId="4207B56D" w:rsidR="00F70B74" w:rsidRPr="006A612F" w:rsidRDefault="00F70B74" w:rsidP="00AA6ED0">
      <w:pPr>
        <w:pStyle w:val="Document"/>
        <w:spacing w:line="240" w:lineRule="auto"/>
      </w:pPr>
      <w:r w:rsidRPr="006A612F">
        <w:t>The Supreme Court has never explicitly acknowledged that §</w:t>
      </w:r>
      <w:r w:rsidR="0091191F" w:rsidRPr="006A612F">
        <w:t> </w:t>
      </w:r>
      <w:r w:rsidRPr="006A612F">
        <w:t>1983 contains a personal or individual responsibility requirement.</w:t>
      </w:r>
      <w:r w:rsidR="006A559C" w:rsidRPr="006A612F">
        <w:t xml:space="preserve"> </w:t>
      </w:r>
      <w:r w:rsidRPr="006A612F">
        <w:t>Nevertheless, all but one circuit has recognized some variation of a personal responsibility requirement for §</w:t>
      </w:r>
      <w:r w:rsidR="0091191F" w:rsidRPr="006A612F">
        <w:t> </w:t>
      </w:r>
      <w:r w:rsidRPr="006A612F">
        <w:t>1983 liability.</w:t>
      </w:r>
      <w:r w:rsidRPr="006A612F">
        <w:rPr>
          <w:rStyle w:val="NoterefInText"/>
        </w:rPr>
        <w:footnoteReference w:id="123"/>
      </w:r>
      <w:r w:rsidRPr="006A612F">
        <w:t xml:space="preserve"> The personal responsibility requirement is, in essence, another enunciation of </w:t>
      </w:r>
      <w:r w:rsidR="00B972F9" w:rsidRPr="006A612F">
        <w:t xml:space="preserve">a </w:t>
      </w:r>
      <w:r w:rsidRPr="006A612F">
        <w:t>causation requirement.</w:t>
      </w:r>
    </w:p>
    <w:p w14:paraId="78B65BFC" w14:textId="5C8D1109" w:rsidR="00F70B74" w:rsidRPr="006A612F" w:rsidRDefault="00F70B74" w:rsidP="00AA6ED0">
      <w:pPr>
        <w:pStyle w:val="Document"/>
        <w:spacing w:line="240" w:lineRule="auto"/>
        <w:rPr>
          <w:shd w:val="clear" w:color="auto" w:fill="FFFFFF"/>
        </w:rPr>
      </w:pPr>
      <w:r w:rsidRPr="006A612F">
        <w:t>The Third Circuit provides perhaps the most detailed explanation of the personal responsibility requirement.</w:t>
      </w:r>
      <w:r w:rsidR="006A559C" w:rsidRPr="006A612F">
        <w:t xml:space="preserve"> </w:t>
      </w:r>
      <w:r w:rsidRPr="006A612F">
        <w:t xml:space="preserve">In </w:t>
      </w:r>
      <w:r w:rsidRPr="006A612F">
        <w:rPr>
          <w:i/>
          <w:iCs/>
        </w:rPr>
        <w:t>Jutrowski</w:t>
      </w:r>
      <w:r w:rsidR="000670BC" w:rsidRPr="006A612F">
        <w:rPr>
          <w:i/>
          <w:iCs/>
        </w:rPr>
        <w:t xml:space="preserve"> v. Township of Riverdale</w:t>
      </w:r>
      <w:r w:rsidRPr="006A612F">
        <w:t>,</w:t>
      </w:r>
      <w:r w:rsidR="000670BC" w:rsidRPr="006A612F">
        <w:rPr>
          <w:rStyle w:val="NoterefInText"/>
        </w:rPr>
        <w:footnoteReference w:id="124"/>
      </w:r>
      <w:r w:rsidRPr="006A612F">
        <w:t xml:space="preserve"> the plaintiff sued four police officials for depriving him of his </w:t>
      </w:r>
      <w:r w:rsidRPr="006A612F">
        <w:lastRenderedPageBreak/>
        <w:t>Fourth Amendment right to be free from excessive force after he was kicked in the face during an arrest.</w:t>
      </w:r>
      <w:r w:rsidR="00143C37" w:rsidRPr="006A612F">
        <w:rPr>
          <w:rStyle w:val="NoterefInText"/>
        </w:rPr>
        <w:footnoteReference w:id="125"/>
      </w:r>
      <w:r w:rsidR="006A559C" w:rsidRPr="006A612F">
        <w:t xml:space="preserve"> </w:t>
      </w:r>
      <w:r w:rsidRPr="006A612F">
        <w:t xml:space="preserve">The court granted all four defendants summary judgment, explaining that </w:t>
      </w:r>
      <w:r w:rsidR="00BF278E" w:rsidRPr="006A612F">
        <w:t>“</w:t>
      </w:r>
      <w:r w:rsidRPr="006A612F">
        <w:t>a</w:t>
      </w:r>
      <w:r w:rsidR="0091191F" w:rsidRPr="006A612F">
        <w:t xml:space="preserve"> </w:t>
      </w:r>
      <w:r w:rsidRPr="006A612F">
        <w:t>§</w:t>
      </w:r>
      <w:r w:rsidR="0091191F" w:rsidRPr="006A612F">
        <w:t> </w:t>
      </w:r>
      <w:r w:rsidRPr="006A612F">
        <w:t>1983 plaintiff must produce evidence supporting each individual defendant</w:t>
      </w:r>
      <w:r w:rsidR="00BF278E" w:rsidRPr="006A612F">
        <w:t>’</w:t>
      </w:r>
      <w:r w:rsidRPr="006A612F">
        <w:t>s personal involvement in the alleged violation to bring that defendant to trial.</w:t>
      </w:r>
      <w:r w:rsidR="00BF278E" w:rsidRPr="006A612F">
        <w:t>”</w:t>
      </w:r>
      <w:r w:rsidRPr="006A612F">
        <w:rPr>
          <w:rStyle w:val="NoterefInText"/>
        </w:rPr>
        <w:footnoteReference w:id="126"/>
      </w:r>
      <w:r w:rsidR="006A559C" w:rsidRPr="006A612F">
        <w:t xml:space="preserve"> </w:t>
      </w:r>
      <w:r w:rsidRPr="006A612F">
        <w:t xml:space="preserve">It is not enough to have </w:t>
      </w:r>
      <w:r w:rsidR="00BF278E" w:rsidRPr="006A612F">
        <w:t>“</w:t>
      </w:r>
      <w:r w:rsidRPr="006A612F">
        <w:t>narrowed the potential universe of actors to those that were in his immediate vicinity.</w:t>
      </w:r>
      <w:r w:rsidR="00BF278E" w:rsidRPr="006A612F">
        <w:t>”</w:t>
      </w:r>
      <w:r w:rsidRPr="006A612F">
        <w:rPr>
          <w:rStyle w:val="NoterefInText"/>
        </w:rPr>
        <w:footnoteReference w:id="127"/>
      </w:r>
      <w:r w:rsidR="006A559C" w:rsidRPr="006A612F">
        <w:t xml:space="preserve"> </w:t>
      </w:r>
      <w:r w:rsidRPr="006A612F">
        <w:t>The court distinguished this case from</w:t>
      </w:r>
      <w:r w:rsidRPr="006A612F">
        <w:rPr>
          <w:shd w:val="clear" w:color="auto" w:fill="FFFFFF"/>
        </w:rPr>
        <w:t xml:space="preserve"> </w:t>
      </w:r>
      <w:r w:rsidRPr="006A612F">
        <w:rPr>
          <w:i/>
          <w:iCs/>
        </w:rPr>
        <w:t>Smith v. Mensinger</w:t>
      </w:r>
      <w:r w:rsidRPr="006A612F">
        <w:rPr>
          <w:shd w:val="clear" w:color="auto" w:fill="FFFFFF"/>
        </w:rPr>
        <w:t>,</w:t>
      </w:r>
      <w:r w:rsidR="00A87B20" w:rsidRPr="006A612F">
        <w:rPr>
          <w:rStyle w:val="NoterefInText"/>
        </w:rPr>
        <w:footnoteReference w:id="128"/>
      </w:r>
      <w:r w:rsidRPr="006A612F">
        <w:rPr>
          <w:shd w:val="clear" w:color="auto" w:fill="FFFFFF"/>
        </w:rPr>
        <w:t xml:space="preserve"> </w:t>
      </w:r>
      <w:r w:rsidRPr="006A612F">
        <w:t xml:space="preserve">an early case where the plaintiff had </w:t>
      </w:r>
      <w:r w:rsidR="0091191F" w:rsidRPr="006A612F">
        <w:t xml:space="preserve">claimed </w:t>
      </w:r>
      <w:r w:rsidRPr="006A612F">
        <w:t xml:space="preserve">that </w:t>
      </w:r>
      <w:r w:rsidRPr="006A612F">
        <w:rPr>
          <w:i/>
          <w:iCs/>
        </w:rPr>
        <w:t>each</w:t>
      </w:r>
      <w:r w:rsidRPr="006A612F">
        <w:t xml:space="preserve"> of the defendants had participated in the alleged beating.</w:t>
      </w:r>
      <w:r w:rsidRPr="006A612F">
        <w:rPr>
          <w:rStyle w:val="NoterefInText"/>
        </w:rPr>
        <w:footnoteReference w:id="129"/>
      </w:r>
      <w:r w:rsidR="006A559C" w:rsidRPr="006A612F">
        <w:t xml:space="preserve"> </w:t>
      </w:r>
      <w:r w:rsidRPr="006A612F">
        <w:rPr>
          <w:shd w:val="clear" w:color="auto" w:fill="FFFFFF"/>
        </w:rPr>
        <w:t xml:space="preserve">The </w:t>
      </w:r>
      <w:r w:rsidR="00F840C1" w:rsidRPr="006A612F">
        <w:rPr>
          <w:shd w:val="clear" w:color="auto" w:fill="FFFFFF"/>
        </w:rPr>
        <w:t>c</w:t>
      </w:r>
      <w:r w:rsidRPr="006A612F">
        <w:rPr>
          <w:shd w:val="clear" w:color="auto" w:fill="FFFFFF"/>
        </w:rPr>
        <w:t xml:space="preserve">ourt explained that </w:t>
      </w:r>
      <w:r w:rsidR="00BF278E" w:rsidRPr="006A612F">
        <w:rPr>
          <w:shd w:val="clear" w:color="auto" w:fill="FFFFFF"/>
        </w:rPr>
        <w:t>“</w:t>
      </w:r>
      <w:r w:rsidRPr="006A612F">
        <w:rPr>
          <w:i/>
          <w:iCs/>
        </w:rPr>
        <w:t>Smith</w:t>
      </w:r>
      <w:r w:rsidRPr="006A612F">
        <w:rPr>
          <w:shd w:val="clear" w:color="auto" w:fill="FFFFFF"/>
        </w:rPr>
        <w:t> ultimately involved nothing more than a dispute about the </w:t>
      </w:r>
      <w:r w:rsidRPr="006A612F">
        <w:rPr>
          <w:i/>
          <w:iCs/>
        </w:rPr>
        <w:t>extent</w:t>
      </w:r>
      <w:r w:rsidRPr="006A612F">
        <w:rPr>
          <w:shd w:val="clear" w:color="auto" w:fill="FFFFFF"/>
        </w:rPr>
        <w:t> of each officer</w:t>
      </w:r>
      <w:r w:rsidR="00BF278E" w:rsidRPr="006A612F">
        <w:rPr>
          <w:shd w:val="clear" w:color="auto" w:fill="FFFFFF"/>
        </w:rPr>
        <w:t>’</w:t>
      </w:r>
      <w:r w:rsidRPr="006A612F">
        <w:rPr>
          <w:shd w:val="clear" w:color="auto" w:fill="FFFFFF"/>
        </w:rPr>
        <w:t>s participation</w:t>
      </w:r>
      <w:r w:rsidR="00BF278E" w:rsidRPr="006A612F">
        <w:rPr>
          <w:shd w:val="clear" w:color="auto" w:fill="FFFFFF"/>
        </w:rPr>
        <w:t>”</w:t>
      </w:r>
      <w:r w:rsidRPr="006A612F">
        <w:rPr>
          <w:shd w:val="clear" w:color="auto" w:fill="FFFFFF"/>
        </w:rPr>
        <w:t xml:space="preserve"> while </w:t>
      </w:r>
      <w:r w:rsidR="008D3524" w:rsidRPr="006A612F">
        <w:rPr>
          <w:shd w:val="clear" w:color="auto" w:fill="FFFFFF"/>
        </w:rPr>
        <w:t xml:space="preserve">the plaintiff in </w:t>
      </w:r>
      <w:r w:rsidRPr="006A612F">
        <w:rPr>
          <w:i/>
          <w:iCs/>
          <w:shd w:val="clear" w:color="auto" w:fill="FFFFFF"/>
        </w:rPr>
        <w:t>Jutrowski</w:t>
      </w:r>
      <w:r w:rsidRPr="006A612F">
        <w:rPr>
          <w:shd w:val="clear" w:color="auto" w:fill="FFFFFF"/>
        </w:rPr>
        <w:t xml:space="preserve"> </w:t>
      </w:r>
      <w:r w:rsidR="00FE5F3E" w:rsidRPr="006A612F">
        <w:rPr>
          <w:shd w:val="clear" w:color="auto" w:fill="FFFFFF"/>
        </w:rPr>
        <w:t xml:space="preserve">did </w:t>
      </w:r>
      <w:r w:rsidR="00BF278E" w:rsidRPr="006A612F">
        <w:rPr>
          <w:shd w:val="clear" w:color="auto" w:fill="FFFFFF"/>
        </w:rPr>
        <w:t>“</w:t>
      </w:r>
      <w:r w:rsidR="00FE5F3E" w:rsidRPr="006A612F">
        <w:rPr>
          <w:shd w:val="clear" w:color="auto" w:fill="FFFFFF"/>
        </w:rPr>
        <w:t xml:space="preserve">not purport to raise </w:t>
      </w:r>
      <w:r w:rsidRPr="006A612F">
        <w:rPr>
          <w:shd w:val="clear" w:color="auto" w:fill="FFFFFF"/>
        </w:rPr>
        <w:t xml:space="preserve">a dispute about </w:t>
      </w:r>
      <w:r w:rsidR="00FE5F3E" w:rsidRPr="006A612F">
        <w:rPr>
          <w:shd w:val="clear" w:color="auto" w:fill="FFFFFF"/>
        </w:rPr>
        <w:t>the extent of each officer</w:t>
      </w:r>
      <w:r w:rsidR="00BF278E" w:rsidRPr="006A612F">
        <w:rPr>
          <w:shd w:val="clear" w:color="auto" w:fill="FFFFFF"/>
        </w:rPr>
        <w:t>’</w:t>
      </w:r>
      <w:r w:rsidR="00FE5F3E" w:rsidRPr="006A612F">
        <w:rPr>
          <w:shd w:val="clear" w:color="auto" w:fill="FFFFFF"/>
        </w:rPr>
        <w:t xml:space="preserve">s participation, but rather </w:t>
      </w:r>
      <w:r w:rsidRPr="006A612F">
        <w:rPr>
          <w:shd w:val="clear" w:color="auto" w:fill="FFFFFF"/>
        </w:rPr>
        <w:t>the </w:t>
      </w:r>
      <w:r w:rsidRPr="006A612F">
        <w:rPr>
          <w:i/>
          <w:iCs/>
        </w:rPr>
        <w:t>possibility</w:t>
      </w:r>
      <w:r w:rsidRPr="006A612F">
        <w:rPr>
          <w:shd w:val="clear" w:color="auto" w:fill="FFFFFF"/>
        </w:rPr>
        <w:t xml:space="preserve"> of </w:t>
      </w:r>
      <w:r w:rsidR="00FE5F3E" w:rsidRPr="006A612F">
        <w:rPr>
          <w:shd w:val="clear" w:color="auto" w:fill="FFFFFF"/>
        </w:rPr>
        <w:t>it</w:t>
      </w:r>
      <w:r w:rsidRPr="006A612F">
        <w:rPr>
          <w:shd w:val="clear" w:color="auto" w:fill="FFFFFF"/>
        </w:rPr>
        <w:t>.</w:t>
      </w:r>
      <w:r w:rsidR="00BF278E" w:rsidRPr="006A612F">
        <w:rPr>
          <w:shd w:val="clear" w:color="auto" w:fill="FFFFFF"/>
        </w:rPr>
        <w:t>”</w:t>
      </w:r>
      <w:r w:rsidR="00EE5A1F" w:rsidRPr="006A612F">
        <w:rPr>
          <w:rStyle w:val="NoterefInText"/>
        </w:rPr>
        <w:footnoteReference w:id="130"/>
      </w:r>
      <w:r w:rsidRPr="006A612F">
        <w:rPr>
          <w:shd w:val="clear" w:color="auto" w:fill="FFFFFF"/>
        </w:rPr>
        <w:t xml:space="preserve"> In short, a §</w:t>
      </w:r>
      <w:r w:rsidR="00694546" w:rsidRPr="006A612F">
        <w:rPr>
          <w:shd w:val="clear" w:color="auto" w:fill="FFFFFF"/>
        </w:rPr>
        <w:t> </w:t>
      </w:r>
      <w:r w:rsidRPr="006A612F">
        <w:rPr>
          <w:shd w:val="clear" w:color="auto" w:fill="FFFFFF"/>
        </w:rPr>
        <w:t xml:space="preserve">1983 </w:t>
      </w:r>
      <w:r w:rsidR="00694546" w:rsidRPr="006A612F">
        <w:rPr>
          <w:shd w:val="clear" w:color="auto" w:fill="FFFFFF"/>
        </w:rPr>
        <w:t xml:space="preserve">plaintiff </w:t>
      </w:r>
      <w:r w:rsidRPr="006A612F">
        <w:rPr>
          <w:shd w:val="clear" w:color="auto" w:fill="FFFFFF"/>
        </w:rPr>
        <w:t xml:space="preserve">clearly can satisfy the </w:t>
      </w:r>
      <w:r w:rsidR="00BF278E" w:rsidRPr="006A612F">
        <w:rPr>
          <w:shd w:val="clear" w:color="auto" w:fill="FFFFFF"/>
        </w:rPr>
        <w:t>“</w:t>
      </w:r>
      <w:r w:rsidRPr="006A612F">
        <w:rPr>
          <w:shd w:val="clear" w:color="auto" w:fill="FFFFFF"/>
        </w:rPr>
        <w:t>personal responsibility</w:t>
      </w:r>
      <w:r w:rsidR="00BF278E" w:rsidRPr="006A612F">
        <w:rPr>
          <w:shd w:val="clear" w:color="auto" w:fill="FFFFFF"/>
        </w:rPr>
        <w:t>”</w:t>
      </w:r>
      <w:r w:rsidRPr="006A612F">
        <w:rPr>
          <w:shd w:val="clear" w:color="auto" w:fill="FFFFFF"/>
        </w:rPr>
        <w:t xml:space="preserve"> requirement by establishing the defendant directly participated in the excessive force; however, the more difficult question is whether the plaintiff may prevail on less.</w:t>
      </w:r>
      <w:r w:rsidR="006A559C" w:rsidRPr="006A612F">
        <w:rPr>
          <w:shd w:val="clear" w:color="auto" w:fill="FFFFFF"/>
        </w:rPr>
        <w:t xml:space="preserve"> </w:t>
      </w:r>
    </w:p>
    <w:p w14:paraId="06F3D00E" w14:textId="5A9CD70E" w:rsidR="00F70B74" w:rsidRPr="006A612F" w:rsidRDefault="00F70B74" w:rsidP="00AA6ED0">
      <w:pPr>
        <w:pStyle w:val="Document"/>
        <w:spacing w:line="240" w:lineRule="auto"/>
      </w:pPr>
      <w:r w:rsidRPr="006A612F">
        <w:rPr>
          <w:shd w:val="clear" w:color="auto" w:fill="FFFFFF"/>
        </w:rPr>
        <w:t xml:space="preserve">The Supreme Court faced a similar question of causation in </w:t>
      </w:r>
      <w:r w:rsidRPr="006A612F">
        <w:rPr>
          <w:i/>
          <w:iCs/>
          <w:shd w:val="clear" w:color="auto" w:fill="FFFFFF"/>
        </w:rPr>
        <w:t>Ashcroft v. Iqbal</w:t>
      </w:r>
      <w:r w:rsidRPr="006A612F">
        <w:rPr>
          <w:shd w:val="clear" w:color="auto" w:fill="FFFFFF"/>
        </w:rPr>
        <w:t>.</w:t>
      </w:r>
      <w:r w:rsidR="006A559C" w:rsidRPr="006A612F">
        <w:rPr>
          <w:shd w:val="clear" w:color="auto" w:fill="FFFFFF"/>
        </w:rPr>
        <w:t xml:space="preserve"> </w:t>
      </w:r>
      <w:r w:rsidRPr="006A612F">
        <w:rPr>
          <w:shd w:val="clear" w:color="auto" w:fill="FFFFFF"/>
        </w:rPr>
        <w:t xml:space="preserve">Although </w:t>
      </w:r>
      <w:r w:rsidRPr="006A612F">
        <w:rPr>
          <w:i/>
          <w:iCs/>
          <w:shd w:val="clear" w:color="auto" w:fill="FFFFFF"/>
        </w:rPr>
        <w:t>Iqbal</w:t>
      </w:r>
      <w:r w:rsidRPr="006A612F">
        <w:rPr>
          <w:shd w:val="clear" w:color="auto" w:fill="FFFFFF"/>
        </w:rPr>
        <w:t xml:space="preserve"> discusses supervisory liability, it illuminates the courts</w:t>
      </w:r>
      <w:r w:rsidR="00BF278E" w:rsidRPr="006A612F">
        <w:t>’</w:t>
      </w:r>
      <w:r w:rsidRPr="006A612F">
        <w:rPr>
          <w:shd w:val="clear" w:color="auto" w:fill="FFFFFF"/>
        </w:rPr>
        <w:t xml:space="preserve"> view of causation in constitutional litigation.</w:t>
      </w:r>
      <w:r w:rsidR="006A559C" w:rsidRPr="006A612F">
        <w:rPr>
          <w:shd w:val="clear" w:color="auto" w:fill="FFFFFF"/>
        </w:rPr>
        <w:t xml:space="preserve"> </w:t>
      </w:r>
      <w:r w:rsidRPr="006A612F">
        <w:t xml:space="preserve">In </w:t>
      </w:r>
      <w:r w:rsidRPr="006A612F">
        <w:rPr>
          <w:i/>
          <w:iCs/>
        </w:rPr>
        <w:t>Iqbal</w:t>
      </w:r>
      <w:r w:rsidRPr="006A612F">
        <w:t xml:space="preserve">, </w:t>
      </w:r>
      <w:r w:rsidRPr="006A612F">
        <w:rPr>
          <w:shd w:val="clear" w:color="auto" w:fill="FFFFFF"/>
        </w:rPr>
        <w:t>Javaid Iqbal, a Pakistan citizen sued more than fifty federal officials alleging they deprived him of constitutional rights while he was in custody following the 9/11 terrorist attacks.</w:t>
      </w:r>
      <w:r w:rsidRPr="006A612F">
        <w:rPr>
          <w:rStyle w:val="NoterefInText"/>
        </w:rPr>
        <w:footnoteReference w:id="131"/>
      </w:r>
      <w:r w:rsidRPr="006A612F">
        <w:rPr>
          <w:shd w:val="clear" w:color="auto" w:fill="FFFFFF"/>
        </w:rPr>
        <w:t xml:space="preserve"> John Ashcroft, the former Attorney General, and Robert Mueller, the former FBI director, were included in Iqbal</w:t>
      </w:r>
      <w:r w:rsidR="00BF278E" w:rsidRPr="006A612F">
        <w:rPr>
          <w:shd w:val="clear" w:color="auto" w:fill="FFFFFF"/>
        </w:rPr>
        <w:t>’</w:t>
      </w:r>
      <w:r w:rsidRPr="006A612F">
        <w:rPr>
          <w:shd w:val="clear" w:color="auto" w:fill="FFFFFF"/>
        </w:rPr>
        <w:t>s list of defendants.</w:t>
      </w:r>
      <w:r w:rsidRPr="006A612F">
        <w:rPr>
          <w:rStyle w:val="NoterefInText"/>
        </w:rPr>
        <w:footnoteReference w:id="132"/>
      </w:r>
      <w:r w:rsidR="006A559C" w:rsidRPr="006A612F">
        <w:rPr>
          <w:shd w:val="clear" w:color="auto" w:fill="FFFFFF"/>
        </w:rPr>
        <w:t xml:space="preserve"> </w:t>
      </w:r>
      <w:r w:rsidRPr="006A612F">
        <w:rPr>
          <w:shd w:val="clear" w:color="auto" w:fill="FFFFFF"/>
        </w:rPr>
        <w:t xml:space="preserve">Importantly, Iqbal did not allege that either Ashcroft or Mueller </w:t>
      </w:r>
      <w:r w:rsidR="00BF278E" w:rsidRPr="006A612F">
        <w:rPr>
          <w:shd w:val="clear" w:color="auto" w:fill="FFFFFF"/>
        </w:rPr>
        <w:t>“</w:t>
      </w:r>
      <w:r w:rsidRPr="006A612F">
        <w:rPr>
          <w:shd w:val="clear" w:color="auto" w:fill="FFFFFF"/>
        </w:rPr>
        <w:t>kicked him in the stomach [or] punched him in the face.</w:t>
      </w:r>
      <w:r w:rsidR="00BF278E" w:rsidRPr="006A612F">
        <w:rPr>
          <w:shd w:val="clear" w:color="auto" w:fill="FFFFFF"/>
        </w:rPr>
        <w:t>”</w:t>
      </w:r>
      <w:r w:rsidRPr="006A612F">
        <w:rPr>
          <w:rStyle w:val="NoterefInText"/>
        </w:rPr>
        <w:footnoteReference w:id="133"/>
      </w:r>
      <w:r w:rsidR="006A559C" w:rsidRPr="006A612F">
        <w:rPr>
          <w:shd w:val="clear" w:color="auto" w:fill="FFFFFF"/>
        </w:rPr>
        <w:t xml:space="preserve"> </w:t>
      </w:r>
      <w:r w:rsidRPr="006A612F">
        <w:rPr>
          <w:shd w:val="clear" w:color="auto" w:fill="FFFFFF"/>
        </w:rPr>
        <w:t xml:space="preserve">Rather, he claimed they </w:t>
      </w:r>
      <w:r w:rsidR="00BF278E" w:rsidRPr="006A612F">
        <w:rPr>
          <w:shd w:val="clear" w:color="auto" w:fill="FFFFFF"/>
        </w:rPr>
        <w:t>“</w:t>
      </w:r>
      <w:r w:rsidRPr="006A612F">
        <w:rPr>
          <w:shd w:val="clear" w:color="auto" w:fill="FFFFFF"/>
        </w:rPr>
        <w:t xml:space="preserve">knew of, condoned, and willfully and maliciously agreed to subject </w:t>
      </w:r>
      <w:r w:rsidR="00303F31" w:rsidRPr="006A612F">
        <w:rPr>
          <w:shd w:val="clear" w:color="auto" w:fill="FFFFFF"/>
        </w:rPr>
        <w:t>[</w:t>
      </w:r>
      <w:r w:rsidR="00694546" w:rsidRPr="006A612F">
        <w:rPr>
          <w:shd w:val="clear" w:color="auto" w:fill="FFFFFF"/>
        </w:rPr>
        <w:t>Iqbal</w:t>
      </w:r>
      <w:r w:rsidR="00303F31" w:rsidRPr="006A612F">
        <w:rPr>
          <w:shd w:val="clear" w:color="auto" w:fill="FFFFFF"/>
        </w:rPr>
        <w:t>]</w:t>
      </w:r>
      <w:r w:rsidR="00694546" w:rsidRPr="006A612F">
        <w:rPr>
          <w:shd w:val="clear" w:color="auto" w:fill="FFFFFF"/>
        </w:rPr>
        <w:t xml:space="preserve"> </w:t>
      </w:r>
      <w:r w:rsidRPr="006A612F">
        <w:rPr>
          <w:shd w:val="clear" w:color="auto" w:fill="FFFFFF"/>
        </w:rPr>
        <w:t xml:space="preserve">to </w:t>
      </w:r>
      <w:r w:rsidR="00694546" w:rsidRPr="006A612F">
        <w:rPr>
          <w:shd w:val="clear" w:color="auto" w:fill="FFFFFF"/>
        </w:rPr>
        <w:t>harsh</w:t>
      </w:r>
      <w:r w:rsidRPr="006A612F">
        <w:rPr>
          <w:shd w:val="clear" w:color="auto" w:fill="FFFFFF"/>
        </w:rPr>
        <w:t xml:space="preserve"> conditions of confinement as a matter of policy</w:t>
      </w:r>
      <w:r w:rsidR="00BF278E" w:rsidRPr="006A612F">
        <w:rPr>
          <w:shd w:val="clear" w:color="auto" w:fill="FFFFFF"/>
        </w:rPr>
        <w:t>”</w:t>
      </w:r>
      <w:r w:rsidRPr="006A612F">
        <w:rPr>
          <w:rStyle w:val="NoterefInText"/>
        </w:rPr>
        <w:footnoteReference w:id="134"/>
      </w:r>
      <w:r w:rsidRPr="006A612F">
        <w:rPr>
          <w:shd w:val="clear" w:color="auto" w:fill="FFFFFF"/>
        </w:rPr>
        <w:t xml:space="preserve"> and that </w:t>
      </w:r>
      <w:r w:rsidR="00BF278E" w:rsidRPr="006A612F">
        <w:rPr>
          <w:shd w:val="clear" w:color="auto" w:fill="FFFFFF"/>
        </w:rPr>
        <w:t>“</w:t>
      </w:r>
      <w:r w:rsidRPr="006A612F">
        <w:rPr>
          <w:shd w:val="clear" w:color="auto" w:fill="FFFFFF"/>
        </w:rPr>
        <w:t xml:space="preserve">Ashcroft was the </w:t>
      </w:r>
      <w:r w:rsidR="00BF278E" w:rsidRPr="006A612F">
        <w:rPr>
          <w:shd w:val="clear" w:color="auto" w:fill="FFFFFF"/>
        </w:rPr>
        <w:t>‘</w:t>
      </w:r>
      <w:r w:rsidRPr="006A612F">
        <w:rPr>
          <w:shd w:val="clear" w:color="auto" w:fill="FFFFFF"/>
        </w:rPr>
        <w:t>principal architect</w:t>
      </w:r>
      <w:r w:rsidR="00BF278E" w:rsidRPr="006A612F">
        <w:rPr>
          <w:shd w:val="clear" w:color="auto" w:fill="FFFFFF"/>
        </w:rPr>
        <w:t>’</w:t>
      </w:r>
      <w:r w:rsidRPr="006A612F">
        <w:rPr>
          <w:shd w:val="clear" w:color="auto" w:fill="FFFFFF"/>
        </w:rPr>
        <w:t xml:space="preserve"> of this invidious policy, and that Mueller was </w:t>
      </w:r>
      <w:r w:rsidR="00BF278E" w:rsidRPr="006A612F">
        <w:rPr>
          <w:shd w:val="clear" w:color="auto" w:fill="FFFFFF"/>
        </w:rPr>
        <w:t>‘</w:t>
      </w:r>
      <w:r w:rsidRPr="006A612F">
        <w:rPr>
          <w:shd w:val="clear" w:color="auto" w:fill="FFFFFF"/>
        </w:rPr>
        <w:t>instrumental</w:t>
      </w:r>
      <w:r w:rsidR="00BF278E" w:rsidRPr="006A612F">
        <w:rPr>
          <w:shd w:val="clear" w:color="auto" w:fill="FFFFFF"/>
        </w:rPr>
        <w:t>’</w:t>
      </w:r>
      <w:r w:rsidRPr="006A612F">
        <w:rPr>
          <w:shd w:val="clear" w:color="auto" w:fill="FFFFFF"/>
        </w:rPr>
        <w:t xml:space="preserve"> in </w:t>
      </w:r>
      <w:r w:rsidR="003A01DC" w:rsidRPr="006A612F">
        <w:rPr>
          <w:shd w:val="clear" w:color="auto" w:fill="FFFFFF"/>
        </w:rPr>
        <w:t>its adoption and execution</w:t>
      </w:r>
      <w:r w:rsidRPr="006A612F">
        <w:rPr>
          <w:shd w:val="clear" w:color="auto" w:fill="FFFFFF"/>
        </w:rPr>
        <w:t>.</w:t>
      </w:r>
      <w:r w:rsidR="00BF278E" w:rsidRPr="006A612F">
        <w:rPr>
          <w:shd w:val="clear" w:color="auto" w:fill="FFFFFF"/>
        </w:rPr>
        <w:t>”</w:t>
      </w:r>
      <w:r w:rsidRPr="006A612F">
        <w:rPr>
          <w:rStyle w:val="NoterefInText"/>
        </w:rPr>
        <w:footnoteReference w:id="135"/>
      </w:r>
      <w:r w:rsidR="006A559C" w:rsidRPr="006A612F">
        <w:rPr>
          <w:shd w:val="clear" w:color="auto" w:fill="FFFFFF"/>
        </w:rPr>
        <w:t xml:space="preserve"> </w:t>
      </w:r>
      <w:r w:rsidRPr="006A612F">
        <w:rPr>
          <w:shd w:val="clear" w:color="auto" w:fill="FFFFFF"/>
        </w:rPr>
        <w:t xml:space="preserve">In their petition for certiorari, the defendants asked the Court to consider whether supervisors are liable when they have </w:t>
      </w:r>
      <w:r w:rsidR="00BF278E" w:rsidRPr="006A612F">
        <w:rPr>
          <w:shd w:val="clear" w:color="auto" w:fill="FFFFFF"/>
        </w:rPr>
        <w:t>“</w:t>
      </w:r>
      <w:r w:rsidRPr="006A612F">
        <w:rPr>
          <w:shd w:val="clear" w:color="auto" w:fill="FFFFFF"/>
        </w:rPr>
        <w:t>constructive notice</w:t>
      </w:r>
      <w:r w:rsidR="00BF278E" w:rsidRPr="006A612F">
        <w:rPr>
          <w:shd w:val="clear" w:color="auto" w:fill="FFFFFF"/>
        </w:rPr>
        <w:t>”</w:t>
      </w:r>
      <w:r w:rsidRPr="006A612F">
        <w:rPr>
          <w:shd w:val="clear" w:color="auto" w:fill="FFFFFF"/>
        </w:rPr>
        <w:t xml:space="preserve"> of their </w:t>
      </w:r>
      <w:r w:rsidRPr="006A612F">
        <w:rPr>
          <w:shd w:val="clear" w:color="auto" w:fill="FFFFFF"/>
        </w:rPr>
        <w:lastRenderedPageBreak/>
        <w:t>subordinates</w:t>
      </w:r>
      <w:r w:rsidR="00BF278E" w:rsidRPr="006A612F">
        <w:rPr>
          <w:shd w:val="clear" w:color="auto" w:fill="FFFFFF"/>
        </w:rPr>
        <w:t>’</w:t>
      </w:r>
      <w:r w:rsidRPr="006A612F">
        <w:rPr>
          <w:shd w:val="clear" w:color="auto" w:fill="FFFFFF"/>
        </w:rPr>
        <w:t xml:space="preserve"> discriminatory conduct.</w:t>
      </w:r>
      <w:bookmarkStart w:id="13" w:name="_Ref94100373"/>
      <w:r w:rsidRPr="006A612F">
        <w:rPr>
          <w:rStyle w:val="NoterefInText"/>
        </w:rPr>
        <w:footnoteReference w:id="136"/>
      </w:r>
      <w:bookmarkEnd w:id="13"/>
      <w:r w:rsidRPr="006A612F">
        <w:rPr>
          <w:shd w:val="clear" w:color="auto" w:fill="FFFFFF"/>
        </w:rPr>
        <w:t xml:space="preserve"> In essence, the question in </w:t>
      </w:r>
      <w:r w:rsidRPr="006A612F">
        <w:rPr>
          <w:i/>
          <w:iCs/>
          <w:shd w:val="clear" w:color="auto" w:fill="FFFFFF"/>
        </w:rPr>
        <w:t>Iqbal</w:t>
      </w:r>
      <w:r w:rsidRPr="006A612F">
        <w:rPr>
          <w:shd w:val="clear" w:color="auto" w:fill="FFFFFF"/>
        </w:rPr>
        <w:t xml:space="preserve"> is how supervisory officials cause their subordinates to commit a constitutional deprivation.</w:t>
      </w:r>
      <w:r w:rsidR="006A559C" w:rsidRPr="006A612F">
        <w:rPr>
          <w:shd w:val="clear" w:color="auto" w:fill="FFFFFF"/>
        </w:rPr>
        <w:t xml:space="preserve"> </w:t>
      </w:r>
      <w:r w:rsidRPr="006A612F">
        <w:t xml:space="preserve"> </w:t>
      </w:r>
    </w:p>
    <w:p w14:paraId="52816627" w14:textId="3332DDF8" w:rsidR="00F70B74" w:rsidRPr="006A612F" w:rsidRDefault="00F70B74" w:rsidP="00AA6ED0">
      <w:pPr>
        <w:pStyle w:val="Document"/>
        <w:spacing w:line="240" w:lineRule="auto"/>
      </w:pPr>
      <w:r w:rsidRPr="006A612F">
        <w:t>Theoretically, supervisors frequently (if not always) will be the but for cause of a subordinate</w:t>
      </w:r>
      <w:r w:rsidR="00BF278E" w:rsidRPr="006A612F">
        <w:t>’</w:t>
      </w:r>
      <w:r w:rsidRPr="006A612F">
        <w:t>s constitutional violation.</w:t>
      </w:r>
      <w:r w:rsidR="006A559C" w:rsidRPr="006A612F">
        <w:t xml:space="preserve"> </w:t>
      </w:r>
      <w:r w:rsidRPr="006A612F">
        <w:rPr>
          <w:shd w:val="clear" w:color="auto" w:fill="FFFFFF"/>
        </w:rPr>
        <w:t>A supervisor</w:t>
      </w:r>
      <w:r w:rsidR="00BF278E" w:rsidRPr="006A612F">
        <w:rPr>
          <w:shd w:val="clear" w:color="auto" w:fill="FFFFFF"/>
        </w:rPr>
        <w:t>’</w:t>
      </w:r>
      <w:r w:rsidRPr="006A612F">
        <w:rPr>
          <w:shd w:val="clear" w:color="auto" w:fill="FFFFFF"/>
        </w:rPr>
        <w:t>s job is to oversee the conduct of his or her subordinates.</w:t>
      </w:r>
      <w:r w:rsidR="006A559C" w:rsidRPr="006A612F">
        <w:rPr>
          <w:shd w:val="clear" w:color="auto" w:fill="FFFFFF"/>
        </w:rPr>
        <w:t xml:space="preserve"> </w:t>
      </w:r>
      <w:r w:rsidRPr="006A612F">
        <w:rPr>
          <w:shd w:val="clear" w:color="auto" w:fill="FFFFFF"/>
        </w:rPr>
        <w:t>When an unsupervised subordinate commits a constitutional violation, arguably this is a consequence of the supervisor</w:t>
      </w:r>
      <w:r w:rsidR="00BF278E" w:rsidRPr="006A612F">
        <w:rPr>
          <w:shd w:val="clear" w:color="auto" w:fill="FFFFFF"/>
        </w:rPr>
        <w:t>’</w:t>
      </w:r>
      <w:r w:rsidRPr="006A612F">
        <w:rPr>
          <w:shd w:val="clear" w:color="auto" w:fill="FFFFFF"/>
        </w:rPr>
        <w:t>s misconduct</w:t>
      </w:r>
      <w:r w:rsidR="00904116" w:rsidRPr="006A612F">
        <w:rPr>
          <w:shd w:val="clear" w:color="auto" w:fill="FFFFFF"/>
        </w:rPr>
        <w:t>—</w:t>
      </w:r>
      <w:r w:rsidRPr="006A612F">
        <w:rPr>
          <w:shd w:val="clear" w:color="auto" w:fill="FFFFFF"/>
        </w:rPr>
        <w:t>but for the supervisor</w:t>
      </w:r>
      <w:r w:rsidR="00BF278E" w:rsidRPr="006A612F">
        <w:rPr>
          <w:shd w:val="clear" w:color="auto" w:fill="FFFFFF"/>
        </w:rPr>
        <w:t>’</w:t>
      </w:r>
      <w:r w:rsidRPr="006A612F">
        <w:rPr>
          <w:shd w:val="clear" w:color="auto" w:fill="FFFFFF"/>
        </w:rPr>
        <w:t>s inaction, the constitutional deprivation would not have occurred.</w:t>
      </w:r>
      <w:r w:rsidR="006A559C" w:rsidRPr="006A612F">
        <w:rPr>
          <w:shd w:val="clear" w:color="auto" w:fill="FFFFFF"/>
        </w:rPr>
        <w:t xml:space="preserve"> </w:t>
      </w:r>
      <w:r w:rsidRPr="006A612F">
        <w:rPr>
          <w:shd w:val="clear" w:color="auto" w:fill="FFFFFF"/>
        </w:rPr>
        <w:t>F</w:t>
      </w:r>
      <w:r w:rsidRPr="006A612F">
        <w:t>ederal courts have never embraced a</w:t>
      </w:r>
      <w:r w:rsidRPr="006A612F">
        <w:rPr>
          <w:shd w:val="clear" w:color="auto" w:fill="FFFFFF"/>
        </w:rPr>
        <w:t xml:space="preserve"> straightforward </w:t>
      </w:r>
      <w:r w:rsidR="00BF278E" w:rsidRPr="006A612F">
        <w:rPr>
          <w:shd w:val="clear" w:color="auto" w:fill="FFFFFF"/>
        </w:rPr>
        <w:t>“</w:t>
      </w:r>
      <w:r w:rsidRPr="006A612F">
        <w:rPr>
          <w:shd w:val="clear" w:color="auto" w:fill="FFFFFF"/>
        </w:rPr>
        <w:t>but for</w:t>
      </w:r>
      <w:r w:rsidR="00BF278E" w:rsidRPr="006A612F">
        <w:rPr>
          <w:shd w:val="clear" w:color="auto" w:fill="FFFFFF"/>
        </w:rPr>
        <w:t>”</w:t>
      </w:r>
      <w:r w:rsidRPr="006A612F">
        <w:rPr>
          <w:shd w:val="clear" w:color="auto" w:fill="FFFFFF"/>
        </w:rPr>
        <w:t xml:space="preserve"> approach to supervisory liability.</w:t>
      </w:r>
      <w:r w:rsidRPr="006A612F">
        <w:rPr>
          <w:rStyle w:val="NoterefInText"/>
        </w:rPr>
        <w:footnoteReference w:id="137"/>
      </w:r>
      <w:r w:rsidR="006A559C" w:rsidRPr="006A612F">
        <w:rPr>
          <w:shd w:val="clear" w:color="auto" w:fill="FFFFFF"/>
        </w:rPr>
        <w:t xml:space="preserve"> </w:t>
      </w:r>
      <w:r w:rsidRPr="006A612F">
        <w:t xml:space="preserve">Nevertheless, prior to </w:t>
      </w:r>
      <w:r w:rsidRPr="006A612F">
        <w:rPr>
          <w:i/>
        </w:rPr>
        <w:t>Iqbal</w:t>
      </w:r>
      <w:r w:rsidRPr="006A612F">
        <w:t>, at least some circuit courts held that supervisors could be liable when they had constructive knowledge of their subordinates</w:t>
      </w:r>
      <w:r w:rsidR="00BF278E" w:rsidRPr="006A612F">
        <w:t>’</w:t>
      </w:r>
      <w:r w:rsidRPr="006A612F">
        <w:t xml:space="preserve"> unconstitutional behavior but failed to take steps to stop it.</w:t>
      </w:r>
      <w:r w:rsidRPr="006A612F">
        <w:rPr>
          <w:rStyle w:val="NoterefInText"/>
        </w:rPr>
        <w:footnoteReference w:id="138"/>
      </w:r>
      <w:r w:rsidR="006A559C" w:rsidRPr="006A612F">
        <w:t xml:space="preserve"> </w:t>
      </w:r>
      <w:r w:rsidRPr="006A612F">
        <w:t>Additionally, most circuits held that supervisory officials could be liable if they participated in the unconstitutional behavior</w:t>
      </w:r>
      <w:r w:rsidRPr="006A612F">
        <w:rPr>
          <w:rStyle w:val="NoterefInText"/>
        </w:rPr>
        <w:footnoteReference w:id="139"/>
      </w:r>
      <w:r w:rsidRPr="006A612F">
        <w:t xml:space="preserve"> or directed a subordinate to engage in the illegal conduct.</w:t>
      </w:r>
      <w:r w:rsidRPr="006A612F">
        <w:rPr>
          <w:rStyle w:val="NoterefInText"/>
        </w:rPr>
        <w:footnoteReference w:id="140"/>
      </w:r>
      <w:r w:rsidRPr="006A612F">
        <w:t xml:space="preserve"> However, </w:t>
      </w:r>
      <w:r w:rsidRPr="006A612F">
        <w:rPr>
          <w:i/>
        </w:rPr>
        <w:t>Iqbal</w:t>
      </w:r>
      <w:r w:rsidRPr="006A612F">
        <w:t xml:space="preserve"> makes it more difficult for § 1983 plaintiffs to prove supervisory liability.</w:t>
      </w:r>
      <w:r w:rsidRPr="006A612F">
        <w:rPr>
          <w:rStyle w:val="NoterefInText"/>
        </w:rPr>
        <w:footnoteReference w:id="141"/>
      </w:r>
      <w:r w:rsidR="006A559C" w:rsidRPr="006A612F">
        <w:t xml:space="preserve"> </w:t>
      </w:r>
    </w:p>
    <w:p w14:paraId="4938C16E" w14:textId="32F70C29" w:rsidR="00F70B74" w:rsidRPr="006A612F" w:rsidRDefault="00F70B74" w:rsidP="00AA6ED0">
      <w:pPr>
        <w:pStyle w:val="Document"/>
        <w:spacing w:line="240" w:lineRule="auto"/>
      </w:pPr>
      <w:r w:rsidRPr="006A612F">
        <w:rPr>
          <w:i/>
          <w:shd w:val="clear" w:color="auto" w:fill="FFFFFF"/>
        </w:rPr>
        <w:t xml:space="preserve">Iqbal </w:t>
      </w:r>
      <w:r w:rsidRPr="006A612F">
        <w:t xml:space="preserve">holds that </w:t>
      </w:r>
      <w:r w:rsidR="00DD4E83" w:rsidRPr="006A612F">
        <w:t xml:space="preserve">a </w:t>
      </w:r>
      <w:r w:rsidRPr="006A612F">
        <w:t xml:space="preserve">civil rights plaintiff must plead and prove </w:t>
      </w:r>
      <w:r w:rsidR="00BF278E" w:rsidRPr="006A612F">
        <w:t>“</w:t>
      </w:r>
      <w:r w:rsidRPr="006A612F">
        <w:rPr>
          <w:shd w:val="clear" w:color="auto" w:fill="FFFFFF"/>
        </w:rPr>
        <w:t>that each Government-official defendant, through the official</w:t>
      </w:r>
      <w:r w:rsidR="00BF278E" w:rsidRPr="006A612F">
        <w:rPr>
          <w:shd w:val="clear" w:color="auto" w:fill="FFFFFF"/>
        </w:rPr>
        <w:t>’</w:t>
      </w:r>
      <w:r w:rsidRPr="006A612F">
        <w:rPr>
          <w:shd w:val="clear" w:color="auto" w:fill="FFFFFF"/>
        </w:rPr>
        <w:t>s own individual actions, has violated the Constitution.</w:t>
      </w:r>
      <w:r w:rsidR="00BF278E" w:rsidRPr="006A612F">
        <w:rPr>
          <w:shd w:val="clear" w:color="auto" w:fill="FFFFFF"/>
        </w:rPr>
        <w:t>”</w:t>
      </w:r>
      <w:r w:rsidRPr="006A612F">
        <w:rPr>
          <w:rStyle w:val="NoterefInText"/>
        </w:rPr>
        <w:footnoteReference w:id="142"/>
      </w:r>
      <w:r w:rsidR="006A559C" w:rsidRPr="006A612F">
        <w:rPr>
          <w:shd w:val="clear" w:color="auto" w:fill="FFFFFF"/>
        </w:rPr>
        <w:t xml:space="preserve"> </w:t>
      </w:r>
      <w:r w:rsidRPr="006A612F">
        <w:rPr>
          <w:shd w:val="clear" w:color="auto" w:fill="FFFFFF"/>
        </w:rPr>
        <w:t>Furthermore, the Court explains, that at least where the constitutional provision alleged requires intentional discrimination, a plaintiff may not establish a supervisor</w:t>
      </w:r>
      <w:r w:rsidR="00BF278E" w:rsidRPr="006A612F">
        <w:rPr>
          <w:shd w:val="clear" w:color="auto" w:fill="FFFFFF"/>
        </w:rPr>
        <w:t>’</w:t>
      </w:r>
      <w:r w:rsidRPr="006A612F">
        <w:rPr>
          <w:shd w:val="clear" w:color="auto" w:fill="FFFFFF"/>
        </w:rPr>
        <w:t xml:space="preserve">s liability by </w:t>
      </w:r>
      <w:r w:rsidR="00BF278E" w:rsidRPr="006A612F">
        <w:rPr>
          <w:shd w:val="clear" w:color="auto" w:fill="FFFFFF"/>
        </w:rPr>
        <w:t>“</w:t>
      </w:r>
      <w:r w:rsidRPr="006A612F">
        <w:rPr>
          <w:shd w:val="clear" w:color="auto" w:fill="FFFFFF"/>
        </w:rPr>
        <w:t xml:space="preserve">mere </w:t>
      </w:r>
      <w:r w:rsidRPr="006A612F">
        <w:rPr>
          <w:shd w:val="clear" w:color="auto" w:fill="FFFFFF"/>
        </w:rPr>
        <w:lastRenderedPageBreak/>
        <w:t>knowledge of his subordinate</w:t>
      </w:r>
      <w:r w:rsidR="00BF278E" w:rsidRPr="006A612F">
        <w:rPr>
          <w:shd w:val="clear" w:color="auto" w:fill="FFFFFF"/>
        </w:rPr>
        <w:t>’</w:t>
      </w:r>
      <w:r w:rsidRPr="006A612F">
        <w:rPr>
          <w:shd w:val="clear" w:color="auto" w:fill="FFFFFF"/>
        </w:rPr>
        <w:t>s discriminatory purpose.</w:t>
      </w:r>
      <w:r w:rsidR="00BF278E" w:rsidRPr="006A612F">
        <w:rPr>
          <w:shd w:val="clear" w:color="auto" w:fill="FFFFFF"/>
        </w:rPr>
        <w:t>”</w:t>
      </w:r>
      <w:r w:rsidRPr="006A612F">
        <w:rPr>
          <w:rStyle w:val="NoterefInText"/>
        </w:rPr>
        <w:footnoteReference w:id="143"/>
      </w:r>
      <w:r w:rsidR="006A559C" w:rsidRPr="006A612F">
        <w:rPr>
          <w:shd w:val="clear" w:color="auto" w:fill="FFFFFF"/>
        </w:rPr>
        <w:t xml:space="preserve"> </w:t>
      </w:r>
      <w:r w:rsidRPr="006A612F">
        <w:rPr>
          <w:shd w:val="clear" w:color="auto" w:fill="FFFFFF"/>
        </w:rPr>
        <w:t xml:space="preserve">Professor Nahmod offers the following example to differentiate between supervisory liability and non-liability before and after </w:t>
      </w:r>
      <w:r w:rsidRPr="006A612F">
        <w:rPr>
          <w:i/>
          <w:shd w:val="clear" w:color="auto" w:fill="FFFFFF"/>
        </w:rPr>
        <w:t>Iqbal</w:t>
      </w:r>
      <w:r w:rsidRPr="006A612F">
        <w:rPr>
          <w:shd w:val="clear" w:color="auto" w:fill="FFFFFF"/>
        </w:rPr>
        <w:t>:</w:t>
      </w:r>
    </w:p>
    <w:p w14:paraId="21617BF2" w14:textId="77777777" w:rsidR="00F70B74" w:rsidRPr="006A612F" w:rsidRDefault="00F70B74" w:rsidP="00AA6ED0">
      <w:pPr>
        <w:pStyle w:val="1StQuoteTXT"/>
        <w:spacing w:line="240" w:lineRule="auto"/>
      </w:pPr>
      <w:r w:rsidRPr="006A612F">
        <w:t>Suppose that employees in a state or local government licensing office regularly discriminate on racial grounds in the awarding of licenses. Suppose further that their supervisors are actually aware of this racial discrimination but are deliberately indifferent to it and therefore do little or nothing to stop it.</w:t>
      </w:r>
      <w:r w:rsidRPr="006A612F">
        <w:rPr>
          <w:rStyle w:val="NoterefInText"/>
        </w:rPr>
        <w:footnoteReference w:id="144"/>
      </w:r>
    </w:p>
    <w:p w14:paraId="33DCA45E" w14:textId="4CCD75E6" w:rsidR="00F70B74" w:rsidRPr="006A612F" w:rsidRDefault="00F70B74" w:rsidP="00AA6ED0">
      <w:pPr>
        <w:pStyle w:val="Document"/>
        <w:spacing w:line="240" w:lineRule="auto"/>
      </w:pPr>
      <w:r w:rsidRPr="006A612F">
        <w:t>As he explains, there is little question that there has been a constitutional violation</w:t>
      </w:r>
      <w:r w:rsidR="00B0641E" w:rsidRPr="006A612F">
        <w:t>—</w:t>
      </w:r>
      <w:r w:rsidR="00863923" w:rsidRPr="006A612F">
        <w:t>this p</w:t>
      </w:r>
      <w:r w:rsidRPr="006A612F">
        <w:t>laintiff has been deprived of his Fourteenth Amendment Equal Protection rights.</w:t>
      </w:r>
      <w:r w:rsidR="006A559C" w:rsidRPr="006A612F">
        <w:t xml:space="preserve"> </w:t>
      </w:r>
      <w:r w:rsidRPr="006A612F">
        <w:t xml:space="preserve">But did the supervisors </w:t>
      </w:r>
      <w:r w:rsidR="00BF278E" w:rsidRPr="006A612F">
        <w:t>“</w:t>
      </w:r>
      <w:r w:rsidRPr="006A612F">
        <w:t>cause</w:t>
      </w:r>
      <w:r w:rsidR="00BF278E" w:rsidRPr="006A612F">
        <w:t>”</w:t>
      </w:r>
      <w:r w:rsidRPr="006A612F">
        <w:t xml:space="preserve"> the deprivation?</w:t>
      </w:r>
      <w:r w:rsidR="006A559C" w:rsidRPr="006A612F">
        <w:t xml:space="preserve"> </w:t>
      </w:r>
      <w:r w:rsidRPr="006A612F">
        <w:t>Pre-</w:t>
      </w:r>
      <w:r w:rsidRPr="006A612F">
        <w:rPr>
          <w:i/>
        </w:rPr>
        <w:t>Iqbal</w:t>
      </w:r>
      <w:r w:rsidRPr="006A612F">
        <w:t>, the supervisors</w:t>
      </w:r>
      <w:r w:rsidR="00BF278E" w:rsidRPr="006A612F">
        <w:t>’</w:t>
      </w:r>
      <w:r w:rsidRPr="006A612F">
        <w:t xml:space="preserve"> actual awareness of their subordinates</w:t>
      </w:r>
      <w:r w:rsidR="00BF278E" w:rsidRPr="006A612F">
        <w:t>’</w:t>
      </w:r>
      <w:r w:rsidRPr="006A612F">
        <w:t xml:space="preserve"> unconstitutional behavior would be enough to make them liable under §</w:t>
      </w:r>
      <w:r w:rsidR="0091191F" w:rsidRPr="006A612F">
        <w:t> </w:t>
      </w:r>
      <w:r w:rsidRPr="006A612F">
        <w:t>1983.</w:t>
      </w:r>
      <w:r w:rsidRPr="006A612F">
        <w:rPr>
          <w:rStyle w:val="NoterefInText"/>
        </w:rPr>
        <w:footnoteReference w:id="145"/>
      </w:r>
      <w:r w:rsidRPr="006A612F">
        <w:t xml:space="preserve"> After </w:t>
      </w:r>
      <w:r w:rsidRPr="006A612F">
        <w:rPr>
          <w:i/>
        </w:rPr>
        <w:t>Iqbal</w:t>
      </w:r>
      <w:r w:rsidRPr="006A612F">
        <w:t xml:space="preserve">, supervisors can only be liable if they personally violated the </w:t>
      </w:r>
      <w:r w:rsidR="00F5183F" w:rsidRPr="006A612F">
        <w:t>C</w:t>
      </w:r>
      <w:r w:rsidRPr="006A612F">
        <w:t>onstitution. And for a Fourteenth Amendment Equal Protection claim</w:t>
      </w:r>
      <w:r w:rsidR="00A10278" w:rsidRPr="006A612F">
        <w:t>,</w:t>
      </w:r>
      <w:r w:rsidRPr="006A612F">
        <w:t xml:space="preserve"> this means that the supervisor must act with discriminatory purpose.</w:t>
      </w:r>
      <w:r w:rsidRPr="006A612F">
        <w:rPr>
          <w:rStyle w:val="NoterefInText"/>
        </w:rPr>
        <w:footnoteReference w:id="146"/>
      </w:r>
      <w:r w:rsidR="006A559C" w:rsidRPr="006A612F">
        <w:t xml:space="preserve"> </w:t>
      </w:r>
      <w:r w:rsidRPr="006A612F">
        <w:t xml:space="preserve">As such, after </w:t>
      </w:r>
      <w:r w:rsidRPr="006A612F">
        <w:rPr>
          <w:i/>
          <w:iCs/>
        </w:rPr>
        <w:t>Iqbal</w:t>
      </w:r>
      <w:r w:rsidRPr="006A612F">
        <w:t xml:space="preserve"> supervisory officials will not be dubbed the </w:t>
      </w:r>
      <w:r w:rsidR="00BF278E" w:rsidRPr="006A612F">
        <w:t>“</w:t>
      </w:r>
      <w:r w:rsidRPr="006A612F">
        <w:t>cause</w:t>
      </w:r>
      <w:r w:rsidR="00BF278E" w:rsidRPr="006A612F">
        <w:t>”</w:t>
      </w:r>
      <w:r w:rsidRPr="006A612F">
        <w:t xml:space="preserve"> of the constitutional deprivation unless the plaintiff can prove that they too acted with discriminatory intent.</w:t>
      </w:r>
      <w:r w:rsidR="006A559C" w:rsidRPr="006A612F">
        <w:t xml:space="preserve"> </w:t>
      </w:r>
    </w:p>
    <w:p w14:paraId="329A7F7E" w14:textId="44AE8CAD" w:rsidR="00F70B74" w:rsidRPr="006A612F" w:rsidRDefault="00F70B74" w:rsidP="00AA6ED0">
      <w:pPr>
        <w:pStyle w:val="Document"/>
        <w:spacing w:line="240" w:lineRule="auto"/>
      </w:pPr>
      <w:r w:rsidRPr="006A612F">
        <w:rPr>
          <w:i/>
        </w:rPr>
        <w:t>Iqbal</w:t>
      </w:r>
      <w:r w:rsidRPr="006A612F">
        <w:t>, however, fails to explain what it looks like for a supervisor or peer to violate the Constitution in the context of Fourth Amendment excessive force claims.</w:t>
      </w:r>
      <w:r w:rsidR="006A559C" w:rsidRPr="006A612F">
        <w:t xml:space="preserve"> </w:t>
      </w:r>
      <w:r w:rsidRPr="006A612F">
        <w:t xml:space="preserve">Courts analyze these claims under an </w:t>
      </w:r>
      <w:r w:rsidR="00BF278E" w:rsidRPr="006A612F">
        <w:t>“</w:t>
      </w:r>
      <w:r w:rsidRPr="006A612F">
        <w:t>objective reasonableness standard.</w:t>
      </w:r>
      <w:r w:rsidR="00BF278E" w:rsidRPr="006A612F">
        <w:t>”</w:t>
      </w:r>
      <w:r w:rsidRPr="006A612F">
        <w:rPr>
          <w:rStyle w:val="NoterefInText"/>
        </w:rPr>
        <w:footnoteReference w:id="147"/>
      </w:r>
      <w:r w:rsidR="006A559C" w:rsidRPr="006A612F">
        <w:t xml:space="preserve"> </w:t>
      </w:r>
      <w:r w:rsidRPr="006A612F">
        <w:t xml:space="preserve">Thus, applying </w:t>
      </w:r>
      <w:r w:rsidRPr="006A612F">
        <w:rPr>
          <w:i/>
          <w:iCs/>
        </w:rPr>
        <w:t>Iqbal</w:t>
      </w:r>
      <w:r w:rsidRPr="006A612F">
        <w:t>, any defendant</w:t>
      </w:r>
      <w:r w:rsidR="00CD74D2" w:rsidRPr="006A612F">
        <w:t>—</w:t>
      </w:r>
      <w:r w:rsidRPr="006A612F">
        <w:t xml:space="preserve">whether </w:t>
      </w:r>
      <w:r w:rsidR="00B242D4" w:rsidRPr="006A612F">
        <w:t xml:space="preserve">the defendant </w:t>
      </w:r>
      <w:r w:rsidRPr="006A612F">
        <w:t>directly or indirectly physically injure</w:t>
      </w:r>
      <w:r w:rsidR="00B242D4" w:rsidRPr="006A612F">
        <w:t>d</w:t>
      </w:r>
      <w:r w:rsidRPr="006A612F">
        <w:t xml:space="preserve"> the plaintiff</w:t>
      </w:r>
      <w:r w:rsidR="00CD74D2" w:rsidRPr="006A612F">
        <w:t>—</w:t>
      </w:r>
      <w:r w:rsidRPr="006A612F">
        <w:t>causes a Fourth Amendment deprivation when</w:t>
      </w:r>
      <w:r w:rsidRPr="006A612F">
        <w:rPr>
          <w:i/>
          <w:iCs/>
        </w:rPr>
        <w:t xml:space="preserve"> </w:t>
      </w:r>
      <w:r w:rsidR="006562DB" w:rsidRPr="006A612F">
        <w:t>the defendant</w:t>
      </w:r>
      <w:r w:rsidR="006562DB" w:rsidRPr="006A612F">
        <w:rPr>
          <w:i/>
          <w:iCs/>
        </w:rPr>
        <w:t xml:space="preserve"> </w:t>
      </w:r>
      <w:r w:rsidRPr="006A612F">
        <w:t>act</w:t>
      </w:r>
      <w:r w:rsidR="006562DB" w:rsidRPr="006A612F">
        <w:t>s</w:t>
      </w:r>
      <w:r w:rsidRPr="006A612F">
        <w:t xml:space="preserve"> unreasonably.</w:t>
      </w:r>
      <w:bookmarkStart w:id="14" w:name="_Ref83810153"/>
      <w:r w:rsidRPr="006A612F">
        <w:rPr>
          <w:rStyle w:val="NoterefInText"/>
        </w:rPr>
        <w:footnoteReference w:id="148"/>
      </w:r>
      <w:bookmarkEnd w:id="14"/>
      <w:r w:rsidR="006A559C" w:rsidRPr="006A612F">
        <w:t xml:space="preserve"> </w:t>
      </w:r>
    </w:p>
    <w:p w14:paraId="6C19DA57" w14:textId="02EDE064" w:rsidR="00F70B74" w:rsidRPr="006A612F" w:rsidRDefault="00F70B74" w:rsidP="00AA6ED0">
      <w:pPr>
        <w:pStyle w:val="Document"/>
        <w:spacing w:line="240" w:lineRule="auto"/>
        <w:rPr>
          <w:shd w:val="clear" w:color="auto" w:fill="FFFFFF"/>
        </w:rPr>
      </w:pPr>
      <w:r w:rsidRPr="006A612F">
        <w:lastRenderedPageBreak/>
        <w:t xml:space="preserve">Yet, lower courts largely have failed to consider whether a supervisory official has behaved </w:t>
      </w:r>
      <w:r w:rsidR="00BF278E" w:rsidRPr="006A612F">
        <w:t>“</w:t>
      </w:r>
      <w:r w:rsidRPr="006A612F">
        <w:t>unreasonably.</w:t>
      </w:r>
      <w:r w:rsidR="00BF278E" w:rsidRPr="006A612F">
        <w:t>”</w:t>
      </w:r>
      <w:r w:rsidRPr="006A612F">
        <w:rPr>
          <w:rStyle w:val="NoterefInText"/>
        </w:rPr>
        <w:footnoteReference w:id="149"/>
      </w:r>
      <w:r w:rsidR="006A559C" w:rsidRPr="006A612F">
        <w:t xml:space="preserve"> </w:t>
      </w:r>
      <w:r w:rsidRPr="006A612F">
        <w:t xml:space="preserve">For example, in the Second Circuit, </w:t>
      </w:r>
      <w:r w:rsidR="00D30E4F" w:rsidRPr="006A612F">
        <w:t>a</w:t>
      </w:r>
      <w:r w:rsidRPr="006A612F">
        <w:rPr>
          <w:shd w:val="clear" w:color="auto" w:fill="FFFFFF"/>
        </w:rPr>
        <w:t xml:space="preserve"> </w:t>
      </w:r>
      <w:r w:rsidR="00BF278E" w:rsidRPr="006A612F">
        <w:rPr>
          <w:shd w:val="clear" w:color="auto" w:fill="FFFFFF"/>
        </w:rPr>
        <w:t>“</w:t>
      </w:r>
      <w:r w:rsidRPr="006A612F">
        <w:rPr>
          <w:shd w:val="clear" w:color="auto" w:fill="FFFFFF"/>
        </w:rPr>
        <w:t xml:space="preserve">supervisor may be held liable if he or she was personally a </w:t>
      </w:r>
      <w:r w:rsidR="00BF278E" w:rsidRPr="006A612F">
        <w:rPr>
          <w:shd w:val="clear" w:color="auto" w:fill="FFFFFF"/>
        </w:rPr>
        <w:t>‘</w:t>
      </w:r>
      <w:r w:rsidRPr="006A612F">
        <w:rPr>
          <w:shd w:val="clear" w:color="auto" w:fill="FFFFFF"/>
        </w:rPr>
        <w:t>direct participant</w:t>
      </w:r>
      <w:r w:rsidR="00BF278E" w:rsidRPr="006A612F">
        <w:rPr>
          <w:shd w:val="clear" w:color="auto" w:fill="FFFFFF"/>
        </w:rPr>
        <w:t>’</w:t>
      </w:r>
      <w:r w:rsidRPr="006A612F">
        <w:rPr>
          <w:shd w:val="clear" w:color="auto" w:fill="FFFFFF"/>
        </w:rPr>
        <w:t xml:space="preserve"> in the constitutional violation</w:t>
      </w:r>
      <w:r w:rsidR="00BF278E" w:rsidRPr="006A612F">
        <w:rPr>
          <w:shd w:val="clear" w:color="auto" w:fill="FFFFFF"/>
        </w:rPr>
        <w:t>. . . .</w:t>
      </w:r>
      <w:r w:rsidRPr="006A612F">
        <w:rPr>
          <w:shd w:val="clear" w:color="auto" w:fill="FFFFFF"/>
        </w:rPr>
        <w:t xml:space="preserve"> [A] </w:t>
      </w:r>
      <w:r w:rsidR="00BF278E" w:rsidRPr="006A612F">
        <w:rPr>
          <w:shd w:val="clear" w:color="auto" w:fill="FFFFFF"/>
        </w:rPr>
        <w:t>‘</w:t>
      </w:r>
      <w:r w:rsidRPr="006A612F">
        <w:rPr>
          <w:shd w:val="clear" w:color="auto" w:fill="FFFFFF"/>
        </w:rPr>
        <w:t>direct participant</w:t>
      </w:r>
      <w:r w:rsidR="00BF278E" w:rsidRPr="006A612F">
        <w:rPr>
          <w:shd w:val="clear" w:color="auto" w:fill="FFFFFF"/>
        </w:rPr>
        <w:t>’</w:t>
      </w:r>
      <w:r w:rsidRPr="006A612F">
        <w:rPr>
          <w:shd w:val="clear" w:color="auto" w:fill="FFFFFF"/>
        </w:rPr>
        <w:t xml:space="preserve"> includes a person who authorizes, orders, or helps others to do the unlawful acts, even if he or she does not commit the acts personally.</w:t>
      </w:r>
      <w:r w:rsidR="00BF278E" w:rsidRPr="006A612F">
        <w:rPr>
          <w:shd w:val="clear" w:color="auto" w:fill="FFFFFF"/>
        </w:rPr>
        <w:t>”</w:t>
      </w:r>
      <w:r w:rsidRPr="006A612F">
        <w:rPr>
          <w:rStyle w:val="NoterefInText"/>
        </w:rPr>
        <w:footnoteReference w:id="150"/>
      </w:r>
      <w:r w:rsidR="006A559C" w:rsidRPr="006A612F">
        <w:rPr>
          <w:shd w:val="clear" w:color="auto" w:fill="FFFFFF"/>
        </w:rPr>
        <w:t xml:space="preserve"> </w:t>
      </w:r>
      <w:r w:rsidRPr="006A612F">
        <w:rPr>
          <w:shd w:val="clear" w:color="auto" w:fill="FFFFFF"/>
        </w:rPr>
        <w:t>This is just a narrower version of the standard courts used pre-</w:t>
      </w:r>
      <w:r w:rsidRPr="006A612F">
        <w:rPr>
          <w:i/>
          <w:iCs/>
          <w:shd w:val="clear" w:color="auto" w:fill="FFFFFF"/>
        </w:rPr>
        <w:t>Iqbal</w:t>
      </w:r>
      <w:r w:rsidRPr="006A612F">
        <w:rPr>
          <w:shd w:val="clear" w:color="auto" w:fill="FFFFFF"/>
        </w:rPr>
        <w:t xml:space="preserve"> to determine whether a supervisor had </w:t>
      </w:r>
      <w:r w:rsidR="00BF278E" w:rsidRPr="006A612F">
        <w:rPr>
          <w:shd w:val="clear" w:color="auto" w:fill="FFFFFF"/>
        </w:rPr>
        <w:t>“</w:t>
      </w:r>
      <w:r w:rsidRPr="006A612F">
        <w:rPr>
          <w:shd w:val="clear" w:color="auto" w:fill="FFFFFF"/>
        </w:rPr>
        <w:t>caused</w:t>
      </w:r>
      <w:r w:rsidR="00BF278E" w:rsidRPr="006A612F">
        <w:rPr>
          <w:shd w:val="clear" w:color="auto" w:fill="FFFFFF"/>
        </w:rPr>
        <w:t>”</w:t>
      </w:r>
      <w:r w:rsidRPr="006A612F">
        <w:rPr>
          <w:shd w:val="clear" w:color="auto" w:fill="FFFFFF"/>
        </w:rPr>
        <w:t xml:space="preserve"> the constitutional deprivation.</w:t>
      </w:r>
      <w:r w:rsidRPr="006A612F">
        <w:rPr>
          <w:rStyle w:val="NoterefInText"/>
        </w:rPr>
        <w:footnoteReference w:id="151"/>
      </w:r>
      <w:r w:rsidR="006A559C" w:rsidRPr="006A612F">
        <w:rPr>
          <w:shd w:val="clear" w:color="auto" w:fill="FFFFFF"/>
        </w:rPr>
        <w:t xml:space="preserve"> </w:t>
      </w:r>
      <w:r w:rsidRPr="006A612F">
        <w:rPr>
          <w:shd w:val="clear" w:color="auto" w:fill="FFFFFF"/>
        </w:rPr>
        <w:t xml:space="preserve">In short, </w:t>
      </w:r>
      <w:r w:rsidRPr="006A612F">
        <w:rPr>
          <w:i/>
          <w:iCs/>
          <w:shd w:val="clear" w:color="auto" w:fill="FFFFFF"/>
        </w:rPr>
        <w:t>Iqbal</w:t>
      </w:r>
      <w:r w:rsidRPr="006A612F">
        <w:rPr>
          <w:shd w:val="clear" w:color="auto" w:fill="FFFFFF"/>
        </w:rPr>
        <w:t xml:space="preserve"> does not seem to have changed much in the context of Fourth Amendment supervisory liability claims.</w:t>
      </w:r>
      <w:r w:rsidR="006A559C" w:rsidRPr="006A612F">
        <w:rPr>
          <w:shd w:val="clear" w:color="auto" w:fill="FFFFFF"/>
        </w:rPr>
        <w:t xml:space="preserve"> </w:t>
      </w:r>
      <w:r w:rsidRPr="006A612F">
        <w:rPr>
          <w:shd w:val="clear" w:color="auto" w:fill="FFFFFF"/>
        </w:rPr>
        <w:t>Appellate courts do not consider whether the supervisor was objectively unreasonable.</w:t>
      </w:r>
      <w:r w:rsidRPr="006A612F">
        <w:rPr>
          <w:rStyle w:val="NoterefInText"/>
        </w:rPr>
        <w:footnoteReference w:id="152"/>
      </w:r>
      <w:r w:rsidR="006A559C" w:rsidRPr="006A612F">
        <w:rPr>
          <w:shd w:val="clear" w:color="auto" w:fill="FFFFFF"/>
        </w:rPr>
        <w:t xml:space="preserve"> </w:t>
      </w:r>
      <w:r w:rsidRPr="006A612F">
        <w:rPr>
          <w:shd w:val="clear" w:color="auto" w:fill="FFFFFF"/>
        </w:rPr>
        <w:t xml:space="preserve">Instead, they continue to consider whether </w:t>
      </w:r>
      <w:r w:rsidR="002B7B3E" w:rsidRPr="006A612F">
        <w:rPr>
          <w:shd w:val="clear" w:color="auto" w:fill="FFFFFF"/>
        </w:rPr>
        <w:t>the supervisor</w:t>
      </w:r>
      <w:r w:rsidRPr="006A612F">
        <w:rPr>
          <w:shd w:val="clear" w:color="auto" w:fill="FFFFFF"/>
        </w:rPr>
        <w:t xml:space="preserve"> caused the constitutional violation by </w:t>
      </w:r>
      <w:r w:rsidRPr="006A612F">
        <w:rPr>
          <w:shd w:val="clear" w:color="auto" w:fill="FFFFFF"/>
        </w:rPr>
        <w:lastRenderedPageBreak/>
        <w:t>authoriz</w:t>
      </w:r>
      <w:r w:rsidR="008E772A" w:rsidRPr="006A612F">
        <w:rPr>
          <w:shd w:val="clear" w:color="auto" w:fill="FFFFFF"/>
        </w:rPr>
        <w:t>ing</w:t>
      </w:r>
      <w:r w:rsidRPr="006A612F">
        <w:rPr>
          <w:shd w:val="clear" w:color="auto" w:fill="FFFFFF"/>
        </w:rPr>
        <w:t>, ordering, taking part, or helping others commit the unlawful acts.</w:t>
      </w:r>
      <w:r w:rsidRPr="006A612F">
        <w:rPr>
          <w:rStyle w:val="NoterefInText"/>
        </w:rPr>
        <w:footnoteReference w:id="153"/>
      </w:r>
      <w:r w:rsidR="006A559C" w:rsidRPr="006A612F">
        <w:rPr>
          <w:shd w:val="clear" w:color="auto" w:fill="FFFFFF"/>
        </w:rPr>
        <w:t xml:space="preserve"> </w:t>
      </w:r>
    </w:p>
    <w:p w14:paraId="36DA2614" w14:textId="761B2CDB" w:rsidR="00F70B74" w:rsidRPr="006A612F" w:rsidRDefault="00F70B74" w:rsidP="00AA6ED0">
      <w:pPr>
        <w:pStyle w:val="Document"/>
        <w:spacing w:line="240" w:lineRule="auto"/>
        <w:rPr>
          <w:shd w:val="clear" w:color="auto" w:fill="FFFFFF"/>
        </w:rPr>
      </w:pPr>
      <w:r w:rsidRPr="006A612F">
        <w:rPr>
          <w:shd w:val="clear" w:color="auto" w:fill="FFFFFF"/>
        </w:rPr>
        <w:t xml:space="preserve">If nothing else, </w:t>
      </w:r>
      <w:r w:rsidRPr="006A612F">
        <w:rPr>
          <w:i/>
          <w:shd w:val="clear" w:color="auto" w:fill="FFFFFF"/>
        </w:rPr>
        <w:t>Iqbal</w:t>
      </w:r>
      <w:r w:rsidRPr="006A612F">
        <w:rPr>
          <w:shd w:val="clear" w:color="auto" w:fill="FFFFFF"/>
        </w:rPr>
        <w:t xml:space="preserve"> has complicated an already convoluted area of law.</w:t>
      </w:r>
      <w:r w:rsidRPr="006A612F">
        <w:rPr>
          <w:rStyle w:val="NoterefInText"/>
        </w:rPr>
        <w:footnoteReference w:id="154"/>
      </w:r>
      <w:r w:rsidR="006A559C" w:rsidRPr="006A612F">
        <w:rPr>
          <w:shd w:val="clear" w:color="auto" w:fill="FFFFFF"/>
        </w:rPr>
        <w:t xml:space="preserve"> </w:t>
      </w:r>
      <w:r w:rsidRPr="006A612F">
        <w:rPr>
          <w:i/>
          <w:shd w:val="clear" w:color="auto" w:fill="FFFFFF"/>
        </w:rPr>
        <w:t>Iqbal</w:t>
      </w:r>
      <w:r w:rsidRPr="006A612F">
        <w:rPr>
          <w:shd w:val="clear" w:color="auto" w:fill="FFFFFF"/>
        </w:rPr>
        <w:t xml:space="preserve"> leaves courts with a range of options.</w:t>
      </w:r>
      <w:r w:rsidR="006A559C" w:rsidRPr="006A612F">
        <w:rPr>
          <w:shd w:val="clear" w:color="auto" w:fill="FFFFFF"/>
        </w:rPr>
        <w:t xml:space="preserve"> </w:t>
      </w:r>
      <w:r w:rsidRPr="006A612F">
        <w:rPr>
          <w:shd w:val="clear" w:color="auto" w:fill="FFFFFF"/>
        </w:rPr>
        <w:t xml:space="preserve">On one end of the spectrum, courts can apply </w:t>
      </w:r>
      <w:r w:rsidRPr="006A612F">
        <w:rPr>
          <w:i/>
          <w:shd w:val="clear" w:color="auto" w:fill="FFFFFF"/>
        </w:rPr>
        <w:t>Iqbal</w:t>
      </w:r>
      <w:r w:rsidRPr="006A612F">
        <w:rPr>
          <w:shd w:val="clear" w:color="auto" w:fill="FFFFFF"/>
        </w:rPr>
        <w:t xml:space="preserve"> literally and require §</w:t>
      </w:r>
      <w:r w:rsidR="006834B3" w:rsidRPr="006A612F">
        <w:rPr>
          <w:shd w:val="clear" w:color="auto" w:fill="FFFFFF"/>
        </w:rPr>
        <w:t> </w:t>
      </w:r>
      <w:r w:rsidRPr="006A612F">
        <w:rPr>
          <w:shd w:val="clear" w:color="auto" w:fill="FFFFFF"/>
        </w:rPr>
        <w:t xml:space="preserve">1983 plaintiffs to prove </w:t>
      </w:r>
      <w:r w:rsidR="00BF278E" w:rsidRPr="006A612F">
        <w:rPr>
          <w:shd w:val="clear" w:color="auto" w:fill="FFFFFF"/>
        </w:rPr>
        <w:t>“</w:t>
      </w:r>
      <w:r w:rsidRPr="006A612F">
        <w:rPr>
          <w:shd w:val="clear" w:color="auto" w:fill="FFFFFF"/>
        </w:rPr>
        <w:t>that each Government-official defendant, through the official</w:t>
      </w:r>
      <w:r w:rsidR="00BF278E" w:rsidRPr="006A612F">
        <w:rPr>
          <w:shd w:val="clear" w:color="auto" w:fill="FFFFFF"/>
        </w:rPr>
        <w:t>’</w:t>
      </w:r>
      <w:r w:rsidRPr="006A612F">
        <w:rPr>
          <w:shd w:val="clear" w:color="auto" w:fill="FFFFFF"/>
        </w:rPr>
        <w:t>s own individual actions, has violated the Constitution.</w:t>
      </w:r>
      <w:r w:rsidR="00BF278E" w:rsidRPr="006A612F">
        <w:rPr>
          <w:shd w:val="clear" w:color="auto" w:fill="FFFFFF"/>
        </w:rPr>
        <w:t>”</w:t>
      </w:r>
      <w:r w:rsidRPr="006A612F">
        <w:rPr>
          <w:rStyle w:val="NoterefInText"/>
        </w:rPr>
        <w:footnoteReference w:id="155"/>
      </w:r>
      <w:r w:rsidRPr="006A612F">
        <w:rPr>
          <w:shd w:val="clear" w:color="auto" w:fill="FFFFFF"/>
        </w:rPr>
        <w:t xml:space="preserve"> For a Fourth Amendment claim, this requires plaintiffs to establish the defendant was objectively unreasonable.</w:t>
      </w:r>
      <w:r w:rsidRPr="006A612F">
        <w:rPr>
          <w:rStyle w:val="NoterefInText"/>
        </w:rPr>
        <w:footnoteReference w:id="156"/>
      </w:r>
      <w:r w:rsidR="006A559C" w:rsidRPr="006A612F">
        <w:rPr>
          <w:shd w:val="clear" w:color="auto" w:fill="FFFFFF"/>
        </w:rPr>
        <w:t xml:space="preserve"> </w:t>
      </w:r>
      <w:r w:rsidRPr="006A612F">
        <w:rPr>
          <w:shd w:val="clear" w:color="auto" w:fill="FFFFFF"/>
        </w:rPr>
        <w:t>On the other end of the spectrum</w:t>
      </w:r>
      <w:r w:rsidR="00A76CC6" w:rsidRPr="006A612F">
        <w:rPr>
          <w:shd w:val="clear" w:color="auto" w:fill="FFFFFF"/>
        </w:rPr>
        <w:t>,</w:t>
      </w:r>
      <w:r w:rsidRPr="006A612F">
        <w:rPr>
          <w:shd w:val="clear" w:color="auto" w:fill="FFFFFF"/>
        </w:rPr>
        <w:t xml:space="preserve"> courts can limit </w:t>
      </w:r>
      <w:r w:rsidRPr="006A612F">
        <w:rPr>
          <w:i/>
          <w:iCs/>
          <w:shd w:val="clear" w:color="auto" w:fill="FFFFFF"/>
        </w:rPr>
        <w:t>Iqbal</w:t>
      </w:r>
      <w:r w:rsidR="00BF278E" w:rsidRPr="006A612F">
        <w:rPr>
          <w:shd w:val="clear" w:color="auto" w:fill="FFFFFF"/>
        </w:rPr>
        <w:t>’</w:t>
      </w:r>
      <w:r w:rsidRPr="006A612F">
        <w:rPr>
          <w:shd w:val="clear" w:color="auto" w:fill="FFFFFF"/>
        </w:rPr>
        <w:t>s holding to § 1983 discrimination claims.</w:t>
      </w:r>
      <w:r w:rsidRPr="006A612F">
        <w:rPr>
          <w:rStyle w:val="NoterefInText"/>
        </w:rPr>
        <w:footnoteReference w:id="157"/>
      </w:r>
      <w:r w:rsidRPr="006A612F">
        <w:rPr>
          <w:shd w:val="clear" w:color="auto" w:fill="FFFFFF"/>
        </w:rPr>
        <w:t xml:space="preserve"> If courts take </w:t>
      </w:r>
      <w:r w:rsidRPr="006A612F">
        <w:rPr>
          <w:i/>
          <w:shd w:val="clear" w:color="auto" w:fill="FFFFFF"/>
        </w:rPr>
        <w:t>Iqbal</w:t>
      </w:r>
      <w:r w:rsidRPr="006A612F">
        <w:rPr>
          <w:shd w:val="clear" w:color="auto" w:fill="FFFFFF"/>
        </w:rPr>
        <w:t xml:space="preserve"> literally and hold that </w:t>
      </w:r>
      <w:r w:rsidR="00143C37" w:rsidRPr="006A612F">
        <w:t>t</w:t>
      </w:r>
      <w:r w:rsidRPr="006A612F">
        <w:rPr>
          <w:shd w:val="clear" w:color="auto" w:fill="FFFFFF"/>
        </w:rPr>
        <w:t xml:space="preserve">he term </w:t>
      </w:r>
      <w:r w:rsidR="00BF278E" w:rsidRPr="006A612F">
        <w:rPr>
          <w:shd w:val="clear" w:color="auto" w:fill="FFFFFF"/>
        </w:rPr>
        <w:t>“</w:t>
      </w:r>
      <w:r w:rsidRPr="006A612F">
        <w:rPr>
          <w:shd w:val="clear" w:color="auto" w:fill="FFFFFF"/>
        </w:rPr>
        <w:t xml:space="preserve">supervisory liability is a </w:t>
      </w:r>
      <w:r w:rsidR="00BF278E" w:rsidRPr="006A612F">
        <w:rPr>
          <w:shd w:val="clear" w:color="auto" w:fill="FFFFFF"/>
        </w:rPr>
        <w:t>‘</w:t>
      </w:r>
      <w:r w:rsidRPr="006A612F">
        <w:rPr>
          <w:shd w:val="clear" w:color="auto" w:fill="FFFFFF"/>
        </w:rPr>
        <w:t>misnomer,</w:t>
      </w:r>
      <w:r w:rsidR="00BF278E" w:rsidRPr="006A612F">
        <w:rPr>
          <w:shd w:val="clear" w:color="auto" w:fill="FFFFFF"/>
        </w:rPr>
        <w:t>’”</w:t>
      </w:r>
      <w:r w:rsidRPr="006A612F">
        <w:rPr>
          <w:rStyle w:val="NoterefInText"/>
        </w:rPr>
        <w:footnoteReference w:id="158"/>
      </w:r>
      <w:r w:rsidRPr="006A612F">
        <w:rPr>
          <w:shd w:val="clear" w:color="auto" w:fill="FFFFFF"/>
        </w:rPr>
        <w:t xml:space="preserve"> there is no distinction between tortfeasors</w:t>
      </w:r>
      <w:r w:rsidR="00BF278E" w:rsidRPr="006A612F">
        <w:rPr>
          <w:shd w:val="clear" w:color="auto" w:fill="FFFFFF"/>
        </w:rPr>
        <w:t>’</w:t>
      </w:r>
      <w:r w:rsidRPr="006A612F">
        <w:rPr>
          <w:shd w:val="clear" w:color="auto" w:fill="FFFFFF"/>
        </w:rPr>
        <w:t xml:space="preserve"> peers and their supervisors.</w:t>
      </w:r>
      <w:r w:rsidR="006A559C" w:rsidRPr="006A612F">
        <w:rPr>
          <w:shd w:val="clear" w:color="auto" w:fill="FFFFFF"/>
        </w:rPr>
        <w:t xml:space="preserve"> </w:t>
      </w:r>
      <w:r w:rsidRPr="006A612F">
        <w:rPr>
          <w:shd w:val="clear" w:color="auto" w:fill="FFFFFF"/>
        </w:rPr>
        <w:t xml:space="preserve">As such, </w:t>
      </w:r>
      <w:r w:rsidRPr="006A612F">
        <w:rPr>
          <w:i/>
          <w:iCs/>
          <w:shd w:val="clear" w:color="auto" w:fill="FFFFFF"/>
        </w:rPr>
        <w:t>Iqbal</w:t>
      </w:r>
      <w:r w:rsidRPr="006A612F">
        <w:rPr>
          <w:shd w:val="clear" w:color="auto" w:fill="FFFFFF"/>
        </w:rPr>
        <w:t xml:space="preserve"> may eliminate supervisory liability, but it does not mean that a supervisor will never be personally responsible for a subordinate</w:t>
      </w:r>
      <w:r w:rsidR="00BF278E" w:rsidRPr="006A612F">
        <w:rPr>
          <w:shd w:val="clear" w:color="auto" w:fill="FFFFFF"/>
        </w:rPr>
        <w:t>’</w:t>
      </w:r>
      <w:r w:rsidRPr="006A612F">
        <w:rPr>
          <w:shd w:val="clear" w:color="auto" w:fill="FFFFFF"/>
        </w:rPr>
        <w:t>s constitutional violation.</w:t>
      </w:r>
    </w:p>
    <w:p w14:paraId="69F3AB73" w14:textId="784D2D18" w:rsidR="00F70B74" w:rsidRPr="006A612F" w:rsidRDefault="00F70B74" w:rsidP="00AA6ED0">
      <w:pPr>
        <w:pStyle w:val="Document"/>
        <w:spacing w:line="240" w:lineRule="auto"/>
        <w:rPr>
          <w:shd w:val="clear" w:color="auto" w:fill="FFFFFF"/>
        </w:rPr>
      </w:pPr>
      <w:r w:rsidRPr="006A612F">
        <w:rPr>
          <w:shd w:val="clear" w:color="auto" w:fill="FFFFFF"/>
        </w:rPr>
        <w:t>This brings us full circle, back to the question of personal responsibility.</w:t>
      </w:r>
      <w:r w:rsidR="006A559C" w:rsidRPr="006A612F">
        <w:rPr>
          <w:shd w:val="clear" w:color="auto" w:fill="FFFFFF"/>
        </w:rPr>
        <w:t xml:space="preserve"> </w:t>
      </w:r>
      <w:r w:rsidRPr="006A612F">
        <w:rPr>
          <w:shd w:val="clear" w:color="auto" w:fill="FFFFFF"/>
        </w:rPr>
        <w:t>There is no question that government officials are liable under §</w:t>
      </w:r>
      <w:r w:rsidR="006834B3" w:rsidRPr="006A612F">
        <w:rPr>
          <w:shd w:val="clear" w:color="auto" w:fill="FFFFFF"/>
        </w:rPr>
        <w:t> </w:t>
      </w:r>
      <w:r w:rsidRPr="006A612F">
        <w:rPr>
          <w:shd w:val="clear" w:color="auto" w:fill="FFFFFF"/>
        </w:rPr>
        <w:t xml:space="preserve">1983 for Fourth Amendment excessive force claims when </w:t>
      </w:r>
      <w:r w:rsidR="00D851D2" w:rsidRPr="006A612F">
        <w:rPr>
          <w:shd w:val="clear" w:color="auto" w:fill="FFFFFF"/>
        </w:rPr>
        <w:t>plaintiffs</w:t>
      </w:r>
      <w:r w:rsidRPr="006A612F">
        <w:rPr>
          <w:shd w:val="clear" w:color="auto" w:fill="FFFFFF"/>
        </w:rPr>
        <w:t xml:space="preserve"> can prove they directly participated in the application of force.</w:t>
      </w:r>
      <w:r w:rsidR="006A559C" w:rsidRPr="006A612F">
        <w:rPr>
          <w:shd w:val="clear" w:color="auto" w:fill="FFFFFF"/>
        </w:rPr>
        <w:t xml:space="preserve"> </w:t>
      </w:r>
      <w:r w:rsidRPr="006A612F">
        <w:rPr>
          <w:shd w:val="clear" w:color="auto" w:fill="FFFFFF"/>
        </w:rPr>
        <w:t>Those are the easy cases.</w:t>
      </w:r>
      <w:r w:rsidR="006A559C" w:rsidRPr="006A612F">
        <w:rPr>
          <w:shd w:val="clear" w:color="auto" w:fill="FFFFFF"/>
        </w:rPr>
        <w:t xml:space="preserve"> </w:t>
      </w:r>
      <w:r w:rsidRPr="006A612F">
        <w:rPr>
          <w:shd w:val="clear" w:color="auto" w:fill="FFFFFF"/>
        </w:rPr>
        <w:t xml:space="preserve">The more difficult questions are: (1) whether </w:t>
      </w:r>
      <w:r w:rsidR="00D851D2" w:rsidRPr="006A612F">
        <w:rPr>
          <w:shd w:val="clear" w:color="auto" w:fill="FFFFFF"/>
        </w:rPr>
        <w:t>plaintiffs</w:t>
      </w:r>
      <w:r w:rsidRPr="006A612F">
        <w:rPr>
          <w:shd w:val="clear" w:color="auto" w:fill="FFFFFF"/>
        </w:rPr>
        <w:t xml:space="preserve"> may prevail against defendants who did not directly participate</w:t>
      </w:r>
      <w:r w:rsidR="00896A15" w:rsidRPr="006A612F">
        <w:rPr>
          <w:shd w:val="clear" w:color="auto" w:fill="FFFFFF"/>
        </w:rPr>
        <w:t>,</w:t>
      </w:r>
      <w:r w:rsidRPr="006A612F">
        <w:rPr>
          <w:shd w:val="clear" w:color="auto" w:fill="FFFFFF"/>
        </w:rPr>
        <w:t xml:space="preserve"> or (2) whether </w:t>
      </w:r>
      <w:r w:rsidR="00D851D2" w:rsidRPr="006A612F">
        <w:rPr>
          <w:shd w:val="clear" w:color="auto" w:fill="FFFFFF"/>
        </w:rPr>
        <w:t>plaintiffs</w:t>
      </w:r>
      <w:r w:rsidRPr="006A612F">
        <w:rPr>
          <w:shd w:val="clear" w:color="auto" w:fill="FFFFFF"/>
        </w:rPr>
        <w:t xml:space="preserve"> may prevail when </w:t>
      </w:r>
      <w:r w:rsidR="00D851D2" w:rsidRPr="006A612F">
        <w:rPr>
          <w:shd w:val="clear" w:color="auto" w:fill="FFFFFF"/>
        </w:rPr>
        <w:t>they are</w:t>
      </w:r>
      <w:r w:rsidRPr="006A612F">
        <w:rPr>
          <w:shd w:val="clear" w:color="auto" w:fill="FFFFFF"/>
        </w:rPr>
        <w:t xml:space="preserve"> able to establish </w:t>
      </w:r>
      <w:r w:rsidRPr="006A612F">
        <w:rPr>
          <w:i/>
          <w:iCs/>
          <w:shd w:val="clear" w:color="auto" w:fill="FFFFFF"/>
        </w:rPr>
        <w:t xml:space="preserve">some </w:t>
      </w:r>
      <w:r w:rsidRPr="006A612F">
        <w:rPr>
          <w:shd w:val="clear" w:color="auto" w:fill="FFFFFF"/>
        </w:rPr>
        <w:t>police official</w:t>
      </w:r>
      <w:r w:rsidR="006A559C" w:rsidRPr="006A612F">
        <w:rPr>
          <w:shd w:val="clear" w:color="auto" w:fill="FFFFFF"/>
        </w:rPr>
        <w:t xml:space="preserve"> </w:t>
      </w:r>
      <w:r w:rsidRPr="006A612F">
        <w:rPr>
          <w:shd w:val="clear" w:color="auto" w:fill="FFFFFF"/>
        </w:rPr>
        <w:t xml:space="preserve">used excessive force but </w:t>
      </w:r>
      <w:r w:rsidR="003E5423" w:rsidRPr="006A612F">
        <w:rPr>
          <w:shd w:val="clear" w:color="auto" w:fill="FFFFFF"/>
        </w:rPr>
        <w:t xml:space="preserve">are </w:t>
      </w:r>
      <w:r w:rsidRPr="006A612F">
        <w:rPr>
          <w:shd w:val="clear" w:color="auto" w:fill="FFFFFF"/>
        </w:rPr>
        <w:t>not able to prove who did so.</w:t>
      </w:r>
      <w:r w:rsidR="006A559C" w:rsidRPr="006A612F">
        <w:rPr>
          <w:shd w:val="clear" w:color="auto" w:fill="FFFFFF"/>
        </w:rPr>
        <w:t xml:space="preserve"> </w:t>
      </w:r>
      <w:r w:rsidR="00691030" w:rsidRPr="006A612F">
        <w:rPr>
          <w:shd w:val="clear" w:color="auto" w:fill="FFFFFF"/>
        </w:rPr>
        <w:t>S</w:t>
      </w:r>
      <w:r w:rsidR="00170128" w:rsidRPr="006A612F">
        <w:rPr>
          <w:shd w:val="clear" w:color="auto" w:fill="FFFFFF"/>
        </w:rPr>
        <w:t xml:space="preserve">ubpart </w:t>
      </w:r>
      <w:r w:rsidR="00904351" w:rsidRPr="006A612F">
        <w:rPr>
          <w:shd w:val="clear" w:color="auto" w:fill="FFFFFF"/>
        </w:rPr>
        <w:t>II(</w:t>
      </w:r>
      <w:r w:rsidRPr="006A612F">
        <w:rPr>
          <w:shd w:val="clear" w:color="auto" w:fill="FFFFFF"/>
        </w:rPr>
        <w:t>B</w:t>
      </w:r>
      <w:r w:rsidR="00904351" w:rsidRPr="006A612F">
        <w:rPr>
          <w:shd w:val="clear" w:color="auto" w:fill="FFFFFF"/>
        </w:rPr>
        <w:t>)</w:t>
      </w:r>
      <w:r w:rsidRPr="006A612F">
        <w:rPr>
          <w:shd w:val="clear" w:color="auto" w:fill="FFFFFF"/>
        </w:rPr>
        <w:t xml:space="preserve"> considers these questions.</w:t>
      </w:r>
      <w:r w:rsidR="006A559C" w:rsidRPr="006A612F">
        <w:rPr>
          <w:shd w:val="clear" w:color="auto" w:fill="FFFFFF"/>
        </w:rPr>
        <w:t xml:space="preserve"> </w:t>
      </w:r>
    </w:p>
    <w:p w14:paraId="440540FB" w14:textId="54611AD2" w:rsidR="00F70B74" w:rsidRPr="006A612F" w:rsidRDefault="00F70B74" w:rsidP="00AA6ED0">
      <w:pPr>
        <w:pStyle w:val="SubHead2"/>
        <w:spacing w:line="240" w:lineRule="auto"/>
      </w:pPr>
      <w:r w:rsidRPr="006A612F">
        <w:rPr>
          <w:shd w:val="clear" w:color="auto" w:fill="FFFFFF"/>
        </w:rPr>
        <w:lastRenderedPageBreak/>
        <w:t>B.</w:t>
      </w:r>
      <w:r w:rsidR="00166D0D" w:rsidRPr="006A612F">
        <w:rPr>
          <w:shd w:val="clear" w:color="auto" w:fill="FFFFFF"/>
        </w:rPr>
        <w:tab/>
      </w:r>
      <w:r w:rsidRPr="006A612F">
        <w:rPr>
          <w:shd w:val="clear" w:color="auto" w:fill="FFFFFF"/>
        </w:rPr>
        <w:t>Proving Personal Responsibility</w:t>
      </w:r>
    </w:p>
    <w:p w14:paraId="189AADBC" w14:textId="3A1F2E0F" w:rsidR="00F70B74" w:rsidRPr="006A612F" w:rsidRDefault="00F70B74" w:rsidP="00AA6ED0">
      <w:pPr>
        <w:pStyle w:val="Document"/>
        <w:spacing w:line="240" w:lineRule="auto"/>
      </w:pPr>
      <w:r w:rsidRPr="006A612F">
        <w:t xml:space="preserve">Among other things, the personal responsibility requirement means that § 1983 plaintiffs may not simply prove </w:t>
      </w:r>
      <w:r w:rsidR="00BF278E" w:rsidRPr="006A612F">
        <w:t>“</w:t>
      </w:r>
      <w:r w:rsidRPr="006A612F">
        <w:t>the police</w:t>
      </w:r>
      <w:r w:rsidR="00BF278E" w:rsidRPr="006A612F">
        <w:t>”</w:t>
      </w:r>
      <w:r w:rsidRPr="006A612F">
        <w:t xml:space="preserve"> deprived the plaintiff of a federally protected right.</w:t>
      </w:r>
      <w:r w:rsidR="006A559C" w:rsidRPr="006A612F">
        <w:t xml:space="preserve"> </w:t>
      </w:r>
      <w:r w:rsidRPr="006A612F">
        <w:t>Instead, the plaintiff must prove how each individual defendant caused (or at least contributed to) the constitutional deprivation.</w:t>
      </w:r>
      <w:r w:rsidRPr="006A612F">
        <w:rPr>
          <w:rStyle w:val="NoterefInText"/>
        </w:rPr>
        <w:footnoteReference w:id="159"/>
      </w:r>
      <w:r w:rsidRPr="006A612F">
        <w:t xml:space="preserve"> In many cases, this is easier said than done.</w:t>
      </w:r>
      <w:r w:rsidR="006A559C" w:rsidRPr="006A612F">
        <w:t xml:space="preserve"> </w:t>
      </w:r>
      <w:r w:rsidRPr="006A612F">
        <w:t>Court</w:t>
      </w:r>
      <w:r w:rsidR="005C6A8B" w:rsidRPr="006A612F">
        <w:t>s</w:t>
      </w:r>
      <w:r w:rsidRPr="006A612F">
        <w:t xml:space="preserve"> have recognized this challenge when multiple government officials are present during a constitutional violation.</w:t>
      </w:r>
      <w:r w:rsidR="006A559C" w:rsidRPr="006A612F">
        <w:t xml:space="preserve"> </w:t>
      </w:r>
      <w:r w:rsidRPr="006A612F">
        <w:t>Their ways for dealing with these situations fall into three broad categories: (1) joint and several liability, (2) failure to intervene, and (3) conspiracy of silence.</w:t>
      </w:r>
      <w:r w:rsidR="006A559C" w:rsidRPr="006A612F">
        <w:t xml:space="preserve"> </w:t>
      </w:r>
    </w:p>
    <w:p w14:paraId="21CC6425" w14:textId="5B5EF048" w:rsidR="00F70B74" w:rsidRPr="006A612F" w:rsidRDefault="00166D0D" w:rsidP="00AA6ED0">
      <w:pPr>
        <w:pStyle w:val="SubHead3-Paragraph"/>
        <w:spacing w:line="240" w:lineRule="auto"/>
      </w:pPr>
      <w:r w:rsidRPr="006A612F">
        <w:rPr>
          <w:rStyle w:val="SubHead3-Italic"/>
        </w:rPr>
        <w:t xml:space="preserve">1. </w:t>
      </w:r>
      <w:r w:rsidR="00F70B74" w:rsidRPr="006A612F">
        <w:rPr>
          <w:rStyle w:val="SubHead3-Italic"/>
        </w:rPr>
        <w:t>Joint Liability</w:t>
      </w:r>
      <w:r w:rsidRPr="006A612F">
        <w:rPr>
          <w:rStyle w:val="SubHead3-Italic"/>
        </w:rPr>
        <w:t>.—</w:t>
      </w:r>
      <w:r w:rsidR="00F70B74" w:rsidRPr="006A612F">
        <w:rPr>
          <w:shd w:val="clear" w:color="auto" w:fill="FFFFFF"/>
        </w:rPr>
        <w:t xml:space="preserve">The Fifth Circuit has relied on the theory of joint liability to establish </w:t>
      </w:r>
      <w:r w:rsidR="00BF278E" w:rsidRPr="006A612F">
        <w:rPr>
          <w:shd w:val="clear" w:color="auto" w:fill="FFFFFF"/>
        </w:rPr>
        <w:t>“</w:t>
      </w:r>
      <w:r w:rsidR="00F70B74" w:rsidRPr="006A612F">
        <w:rPr>
          <w:shd w:val="clear" w:color="auto" w:fill="FFFFFF"/>
        </w:rPr>
        <w:t>personal responsibility</w:t>
      </w:r>
      <w:r w:rsidR="00BF278E" w:rsidRPr="006A612F">
        <w:rPr>
          <w:shd w:val="clear" w:color="auto" w:fill="FFFFFF"/>
        </w:rPr>
        <w:t>”</w:t>
      </w:r>
      <w:r w:rsidR="00F70B74" w:rsidRPr="006A612F">
        <w:rPr>
          <w:shd w:val="clear" w:color="auto" w:fill="FFFFFF"/>
        </w:rPr>
        <w:t xml:space="preserve"> in §</w:t>
      </w:r>
      <w:r w:rsidR="006834B3" w:rsidRPr="006A612F">
        <w:rPr>
          <w:shd w:val="clear" w:color="auto" w:fill="FFFFFF"/>
        </w:rPr>
        <w:t> </w:t>
      </w:r>
      <w:r w:rsidR="00F70B74" w:rsidRPr="006A612F">
        <w:rPr>
          <w:shd w:val="clear" w:color="auto" w:fill="FFFFFF"/>
        </w:rPr>
        <w:t>1983 excessive force claims.</w:t>
      </w:r>
      <w:r w:rsidR="006A559C" w:rsidRPr="006A612F">
        <w:rPr>
          <w:shd w:val="clear" w:color="auto" w:fill="FFFFFF"/>
        </w:rPr>
        <w:t xml:space="preserve"> </w:t>
      </w:r>
      <w:r w:rsidR="00F70B74" w:rsidRPr="006A612F">
        <w:rPr>
          <w:shd w:val="clear" w:color="auto" w:fill="FFFFFF"/>
        </w:rPr>
        <w:t xml:space="preserve">In </w:t>
      </w:r>
      <w:r w:rsidR="00F70B74" w:rsidRPr="006A612F">
        <w:rPr>
          <w:i/>
          <w:shd w:val="clear" w:color="auto" w:fill="FFFFFF"/>
        </w:rPr>
        <w:t>Grandstaff v. City of Borger</w:t>
      </w:r>
      <w:r w:rsidR="00F70B74" w:rsidRPr="006A612F">
        <w:rPr>
          <w:shd w:val="clear" w:color="auto" w:fill="FFFFFF"/>
        </w:rPr>
        <w:t>,</w:t>
      </w:r>
      <w:r w:rsidR="004E2530" w:rsidRPr="006A612F">
        <w:rPr>
          <w:rStyle w:val="NoterefInText"/>
        </w:rPr>
        <w:footnoteReference w:id="160"/>
      </w:r>
      <w:r w:rsidR="00F70B74" w:rsidRPr="006A612F">
        <w:rPr>
          <w:shd w:val="clear" w:color="auto" w:fill="FFFFFF"/>
        </w:rPr>
        <w:t xml:space="preserve"> police officials shot and killed James Grandstaff while in pursuit of a fugitive.</w:t>
      </w:r>
      <w:r w:rsidR="00F70B74" w:rsidRPr="006A612F">
        <w:rPr>
          <w:rStyle w:val="NoterefInText"/>
        </w:rPr>
        <w:footnoteReference w:id="161"/>
      </w:r>
      <w:r w:rsidR="006A559C" w:rsidRPr="006A612F">
        <w:rPr>
          <w:shd w:val="clear" w:color="auto" w:fill="FFFFFF"/>
        </w:rPr>
        <w:t xml:space="preserve"> </w:t>
      </w:r>
      <w:r w:rsidR="00F70B74" w:rsidRPr="006A612F">
        <w:t>The plaintiffs brought a §</w:t>
      </w:r>
      <w:r w:rsidR="00C02599" w:rsidRPr="006A612F">
        <w:t> </w:t>
      </w:r>
      <w:r w:rsidR="00F70B74" w:rsidRPr="006A612F">
        <w:t>1983 claim and state tort claims against four of the six officers who were present</w:t>
      </w:r>
      <w:r w:rsidR="00904351" w:rsidRPr="006A612F">
        <w:t>,</w:t>
      </w:r>
      <w:r w:rsidR="00F70B74" w:rsidRPr="006A612F">
        <w:t xml:space="preserve"> as well as </w:t>
      </w:r>
      <w:r w:rsidR="00C02599" w:rsidRPr="006A612F">
        <w:t xml:space="preserve">against </w:t>
      </w:r>
      <w:r w:rsidR="00F70B74" w:rsidRPr="006A612F">
        <w:t xml:space="preserve">the </w:t>
      </w:r>
      <w:r w:rsidR="00691030" w:rsidRPr="006A612F">
        <w:t>c</w:t>
      </w:r>
      <w:r w:rsidR="00F70B74" w:rsidRPr="006A612F">
        <w:t>ity.</w:t>
      </w:r>
      <w:r w:rsidR="006A559C" w:rsidRPr="006A612F">
        <w:t xml:space="preserve"> </w:t>
      </w:r>
      <w:r w:rsidR="00F70B74" w:rsidRPr="006A612F">
        <w:t xml:space="preserve">A jury found that the defendants violated the Fourteenth Amendment Due Process </w:t>
      </w:r>
      <w:r w:rsidR="00207571" w:rsidRPr="006A612F">
        <w:t xml:space="preserve">Clause </w:t>
      </w:r>
      <w:r w:rsidR="00F70B74" w:rsidRPr="006A612F">
        <w:t xml:space="preserve">because </w:t>
      </w:r>
      <w:r w:rsidR="00BF278E" w:rsidRPr="006A612F">
        <w:t>“</w:t>
      </w:r>
      <w:r w:rsidR="00F70B74" w:rsidRPr="006A612F">
        <w:t>the defendant officers consciously disregarded a substantial risk to innocent persons, and that their use of deadly force was maliciously, wantonly or oppressively done.</w:t>
      </w:r>
      <w:r w:rsidR="00BF278E" w:rsidRPr="006A612F">
        <w:t>”</w:t>
      </w:r>
      <w:r w:rsidR="00F70B74" w:rsidRPr="006A612F">
        <w:rPr>
          <w:rStyle w:val="NoterefInText"/>
        </w:rPr>
        <w:footnoteReference w:id="162"/>
      </w:r>
      <w:r w:rsidR="00F70B74" w:rsidRPr="006A612F">
        <w:t xml:space="preserve"> On appeal, </w:t>
      </w:r>
      <w:r w:rsidR="00BF278E" w:rsidRPr="006A612F">
        <w:t>“</w:t>
      </w:r>
      <w:r w:rsidR="00F70B74" w:rsidRPr="006A612F">
        <w:t>[t]he officers argue[d] that without evidence and a finding that a particular defendant fired the shot that actually struck and killed Grandstaff, there can be no constitutional deprivation laid at the feet of any officer.</w:t>
      </w:r>
      <w:r w:rsidR="00BF278E" w:rsidRPr="006A612F">
        <w:t>”</w:t>
      </w:r>
      <w:r w:rsidR="00393D80" w:rsidRPr="006A612F">
        <w:rPr>
          <w:rStyle w:val="NoterefInText"/>
        </w:rPr>
        <w:footnoteReference w:id="163"/>
      </w:r>
      <w:r w:rsidR="006A559C" w:rsidRPr="006A612F">
        <w:t xml:space="preserve"> </w:t>
      </w:r>
      <w:r w:rsidR="00F70B74" w:rsidRPr="006A612F">
        <w:t>The court rejected the defendant</w:t>
      </w:r>
      <w:r w:rsidR="009C081E" w:rsidRPr="006A612F">
        <w:t>s</w:t>
      </w:r>
      <w:r w:rsidR="00BF278E" w:rsidRPr="006A612F">
        <w:t>’</w:t>
      </w:r>
      <w:r w:rsidR="00F70B74" w:rsidRPr="006A612F">
        <w:t xml:space="preserve"> argument, noting that the defendants acted </w:t>
      </w:r>
      <w:r w:rsidR="00BF278E" w:rsidRPr="006A612F">
        <w:t>“</w:t>
      </w:r>
      <w:r w:rsidR="00F70B74" w:rsidRPr="006A612F">
        <w:t>in concert</w:t>
      </w:r>
      <w:r w:rsidR="00BF278E" w:rsidRPr="006A612F">
        <w:t>”</w:t>
      </w:r>
      <w:r w:rsidR="004E2530" w:rsidRPr="006A612F">
        <w:t>—</w:t>
      </w:r>
      <w:r w:rsidR="00124067">
        <w:t>“</w:t>
      </w:r>
      <w:r w:rsidR="00F70B74" w:rsidRPr="006A612F">
        <w:t xml:space="preserve">[t]he firestorm that killed James Grandstaff was in all respects a joint operation: the same recklessness, the same </w:t>
      </w:r>
      <w:r w:rsidR="00F70B74" w:rsidRPr="006A612F">
        <w:lastRenderedPageBreak/>
        <w:t>circumstances, and the same object.</w:t>
      </w:r>
      <w:r w:rsidR="00BF278E" w:rsidRPr="006A612F">
        <w:t>”</w:t>
      </w:r>
      <w:r w:rsidR="00F70B74" w:rsidRPr="006A612F">
        <w:rPr>
          <w:rStyle w:val="NoterefInText"/>
        </w:rPr>
        <w:footnoteReference w:id="164"/>
      </w:r>
      <w:r w:rsidR="006A559C" w:rsidRPr="006A612F">
        <w:t xml:space="preserve"> </w:t>
      </w:r>
      <w:r w:rsidR="00F70B74" w:rsidRPr="006A612F">
        <w:t>And while the court held the defendants acted jointly, it is also important to note that each defendant, individually, acted reckless and, as such, violated the Fourteenth Amendment Due Process Clause.</w:t>
      </w:r>
    </w:p>
    <w:p w14:paraId="341EDE58" w14:textId="7E38FC91" w:rsidR="00F70B74" w:rsidRPr="006A612F" w:rsidRDefault="00166D0D" w:rsidP="00AA6ED0">
      <w:pPr>
        <w:pStyle w:val="SubHead3-Paragraph"/>
        <w:spacing w:line="240" w:lineRule="auto"/>
      </w:pPr>
      <w:r w:rsidRPr="006A612F">
        <w:rPr>
          <w:rStyle w:val="SubHead3-Italic"/>
        </w:rPr>
        <w:t xml:space="preserve">2. </w:t>
      </w:r>
      <w:r w:rsidR="00F70B74" w:rsidRPr="006A612F">
        <w:rPr>
          <w:rStyle w:val="SubHead3-Italic"/>
        </w:rPr>
        <w:t>Failure to Intervene</w:t>
      </w:r>
      <w:r w:rsidRPr="006A612F">
        <w:rPr>
          <w:rStyle w:val="SubHead3-Italic"/>
        </w:rPr>
        <w:t>.—</w:t>
      </w:r>
      <w:r w:rsidR="00F70B74" w:rsidRPr="006A612F">
        <w:t>Most jurisdictions have held that law enforcement officials may be liable under §</w:t>
      </w:r>
      <w:r w:rsidR="006834B3" w:rsidRPr="006A612F">
        <w:t> </w:t>
      </w:r>
      <w:r w:rsidR="00F70B74" w:rsidRPr="006A612F">
        <w:t xml:space="preserve">1983 for not intervening to prevent another officer from depriving a suspect of </w:t>
      </w:r>
      <w:r w:rsidR="008E4561" w:rsidRPr="006A612F">
        <w:t>a</w:t>
      </w:r>
      <w:r w:rsidR="00F70B74" w:rsidRPr="006A612F">
        <w:t xml:space="preserve"> constitutional right.</w:t>
      </w:r>
      <w:r w:rsidR="00F70B74" w:rsidRPr="006A612F">
        <w:rPr>
          <w:rStyle w:val="NoterefInText"/>
        </w:rPr>
        <w:footnoteReference w:id="165"/>
      </w:r>
      <w:r w:rsidR="00F70B74" w:rsidRPr="006A612F">
        <w:t xml:space="preserve"> This </w:t>
      </w:r>
      <w:r w:rsidR="00BF278E" w:rsidRPr="006A612F">
        <w:t>“</w:t>
      </w:r>
      <w:r w:rsidR="00F70B74" w:rsidRPr="006A612F">
        <w:t>failure to intervene</w:t>
      </w:r>
      <w:r w:rsidR="00BF278E" w:rsidRPr="006A612F">
        <w:t>”</w:t>
      </w:r>
      <w:r w:rsidR="00F70B74" w:rsidRPr="006A612F">
        <w:t xml:space="preserve"> doctrine makes law enforcement officials liable even if they do not hold a supervisory position.</w:t>
      </w:r>
      <w:r w:rsidR="00F70B74" w:rsidRPr="006A612F">
        <w:rPr>
          <w:rStyle w:val="NoterefInText"/>
        </w:rPr>
        <w:footnoteReference w:id="166"/>
      </w:r>
      <w:r w:rsidR="006A559C" w:rsidRPr="006A612F">
        <w:t xml:space="preserve"> </w:t>
      </w:r>
      <w:r w:rsidR="00F70B74" w:rsidRPr="006A612F">
        <w:t xml:space="preserve">Under this theory, the official has </w:t>
      </w:r>
      <w:r w:rsidR="00BF278E" w:rsidRPr="006A612F">
        <w:t>“</w:t>
      </w:r>
      <w:r w:rsidR="00F70B74" w:rsidRPr="006A612F">
        <w:t>an affirmative duty to intervene to protect the constitutional rights of citizens from infringement by other law enforcement officers in their presence.</w:t>
      </w:r>
      <w:r w:rsidR="00BF278E" w:rsidRPr="006A612F">
        <w:t>”</w:t>
      </w:r>
      <w:r w:rsidR="00F70B74" w:rsidRPr="006A612F">
        <w:rPr>
          <w:rStyle w:val="NoterefInText"/>
        </w:rPr>
        <w:footnoteReference w:id="167"/>
      </w:r>
    </w:p>
    <w:p w14:paraId="1F44A159" w14:textId="1AB2EB38" w:rsidR="00F70B74" w:rsidRPr="006A612F" w:rsidRDefault="00F70B74" w:rsidP="00AA6ED0">
      <w:pPr>
        <w:pStyle w:val="Document"/>
        <w:spacing w:line="240" w:lineRule="auto"/>
      </w:pPr>
      <w:r w:rsidRPr="006A612F">
        <w:lastRenderedPageBreak/>
        <w:t xml:space="preserve">Importantly, appellate courts have continued to hold </w:t>
      </w:r>
      <w:r w:rsidR="00904351" w:rsidRPr="006A612F">
        <w:t xml:space="preserve">that </w:t>
      </w:r>
      <w:r w:rsidR="00BF278E" w:rsidRPr="006A612F">
        <w:t>“</w:t>
      </w:r>
      <w:r w:rsidRPr="006A612F">
        <w:t>failure to intervene</w:t>
      </w:r>
      <w:r w:rsidR="00BF278E" w:rsidRPr="006A612F">
        <w:t>”</w:t>
      </w:r>
      <w:r w:rsidRPr="006A612F">
        <w:t xml:space="preserve"> claims are a viable basis for § 1983 liability post</w:t>
      </w:r>
      <w:r w:rsidR="00A97D59" w:rsidRPr="006A612F">
        <w:t>-</w:t>
      </w:r>
      <w:r w:rsidRPr="006A612F">
        <w:rPr>
          <w:i/>
          <w:iCs/>
        </w:rPr>
        <w:t>Iqbal</w:t>
      </w:r>
      <w:r w:rsidRPr="006A612F">
        <w:t>.</w:t>
      </w:r>
      <w:r w:rsidR="006A559C" w:rsidRPr="006A612F">
        <w:t xml:space="preserve"> </w:t>
      </w:r>
      <w:r w:rsidRPr="006A612F">
        <w:t>There is, however, an important distinction between pre-</w:t>
      </w:r>
      <w:r w:rsidRPr="006A612F">
        <w:rPr>
          <w:i/>
        </w:rPr>
        <w:t>Iqbal</w:t>
      </w:r>
      <w:r w:rsidRPr="006A612F">
        <w:t xml:space="preserve"> supervisory liability claims, which might be based on constructive knowledge of a subordinate</w:t>
      </w:r>
      <w:r w:rsidR="00BF278E" w:rsidRPr="006A612F">
        <w:t>’</w:t>
      </w:r>
      <w:r w:rsidRPr="006A612F">
        <w:t>s constitutional conduct, and failure to intervene claims</w:t>
      </w:r>
      <w:r w:rsidR="00904351" w:rsidRPr="006A612F">
        <w:t xml:space="preserve">: </w:t>
      </w:r>
      <w:r w:rsidRPr="006A612F">
        <w:t>the latter is limited to circumstances in which the official is physically present and has</w:t>
      </w:r>
      <w:r w:rsidR="0056693A" w:rsidRPr="006A612F">
        <w:t xml:space="preserve"> a</w:t>
      </w:r>
      <w:r w:rsidRPr="006A612F">
        <w:t xml:space="preserve"> realistic opportunity to prevent the plaintiff</w:t>
      </w:r>
      <w:r w:rsidR="00BF278E" w:rsidRPr="006A612F">
        <w:t>’</w:t>
      </w:r>
      <w:r w:rsidRPr="006A612F">
        <w:t>s injury.</w:t>
      </w:r>
      <w:r w:rsidR="006A559C" w:rsidRPr="006A612F">
        <w:t xml:space="preserve"> </w:t>
      </w:r>
      <w:r w:rsidRPr="006A612F">
        <w:t>By limiting liability to those situations in which an officer</w:t>
      </w:r>
      <w:r w:rsidR="00E853DD" w:rsidRPr="006A612F">
        <w:t xml:space="preserve"> has</w:t>
      </w:r>
      <w:r w:rsidRPr="006A612F">
        <w:t xml:space="preserve"> </w:t>
      </w:r>
      <w:r w:rsidR="00BF278E" w:rsidRPr="006A612F">
        <w:t>“</w:t>
      </w:r>
      <w:r w:rsidRPr="006A612F">
        <w:t>a realistic opportunity to</w:t>
      </w:r>
      <w:r w:rsidR="00E853DD" w:rsidRPr="006A612F">
        <w:t xml:space="preserve"> intervene to</w:t>
      </w:r>
      <w:r w:rsidRPr="006A612F">
        <w:t xml:space="preserve"> prevent the </w:t>
      </w:r>
      <w:r w:rsidR="00E853DD" w:rsidRPr="006A612F">
        <w:t>harm from occurring</w:t>
      </w:r>
      <w:r w:rsidR="00BF278E" w:rsidRPr="006A612F">
        <w:t>”</w:t>
      </w:r>
      <w:r w:rsidR="00E853DD" w:rsidRPr="006A612F">
        <w:t xml:space="preserve"> to the </w:t>
      </w:r>
      <w:r w:rsidRPr="006A612F">
        <w:t>plaintiff</w:t>
      </w:r>
      <w:r w:rsidR="00E853DD" w:rsidRPr="006A612F">
        <w:t>,</w:t>
      </w:r>
      <w:r w:rsidR="007A2DBA" w:rsidRPr="006A612F">
        <w:t xml:space="preserve"> </w:t>
      </w:r>
      <w:r w:rsidRPr="006A612F">
        <w:t>courts identify a clear causal link between the defendant</w:t>
      </w:r>
      <w:r w:rsidR="00BF278E" w:rsidRPr="006A612F">
        <w:t>’</w:t>
      </w:r>
      <w:r w:rsidRPr="006A612F">
        <w:t>s conduct and the plaintiff</w:t>
      </w:r>
      <w:r w:rsidR="00BF278E" w:rsidRPr="006A612F">
        <w:t>’</w:t>
      </w:r>
      <w:r w:rsidRPr="006A612F">
        <w:t>s constitutional deprivation</w:t>
      </w:r>
      <w:r w:rsidR="00904351" w:rsidRPr="006A612F">
        <w:t xml:space="preserve">: </w:t>
      </w:r>
      <w:r w:rsidRPr="006A612F">
        <w:t>but for the defendant</w:t>
      </w:r>
      <w:r w:rsidR="00BF278E" w:rsidRPr="006A612F">
        <w:t>’</w:t>
      </w:r>
      <w:r w:rsidRPr="006A612F">
        <w:t>s failure to intervene there would not have been a constitutional deprivation.</w:t>
      </w:r>
      <w:r w:rsidR="00655927" w:rsidRPr="006A612F">
        <w:rPr>
          <w:rStyle w:val="NoterefInText"/>
        </w:rPr>
        <w:footnoteReference w:id="168"/>
      </w:r>
      <w:r w:rsidR="006A559C" w:rsidRPr="006A612F">
        <w:t xml:space="preserve"> </w:t>
      </w:r>
      <w:r w:rsidRPr="006A612F">
        <w:t xml:space="preserve">In short, the defendant, </w:t>
      </w:r>
      <w:r w:rsidR="00241FE8" w:rsidRPr="006A612F">
        <w:t>in failing to act</w:t>
      </w:r>
      <w:r w:rsidRPr="006A612F">
        <w:t xml:space="preserve">, is </w:t>
      </w:r>
      <w:r w:rsidR="00BF278E" w:rsidRPr="006A612F">
        <w:t>“</w:t>
      </w:r>
      <w:r w:rsidRPr="006A612F">
        <w:t>personally responsible</w:t>
      </w:r>
      <w:r w:rsidR="00BF278E" w:rsidRPr="006A612F">
        <w:t>”</w:t>
      </w:r>
      <w:r w:rsidRPr="006A612F">
        <w:t xml:space="preserve"> for the injury.</w:t>
      </w:r>
      <w:r w:rsidR="006A559C" w:rsidRPr="006A612F">
        <w:t xml:space="preserve"> </w:t>
      </w:r>
      <w:r w:rsidRPr="006A612F">
        <w:t>Accordingly, in the circumstances in which multiple officers are present, one commits a constitutional violation, and the others do nothing, it would seem that all of the officers potentially are liable</w:t>
      </w:r>
      <w:r w:rsidR="00AB31DD" w:rsidRPr="006A612F">
        <w:t>—</w:t>
      </w:r>
      <w:r w:rsidRPr="006A612F">
        <w:t xml:space="preserve">the former for </w:t>
      </w:r>
      <w:r w:rsidR="006D72A8" w:rsidRPr="006A612F">
        <w:t>the</w:t>
      </w:r>
      <w:r w:rsidRPr="006A612F">
        <w:t xml:space="preserve"> action and the others for their inaction (or their failure to intervene).</w:t>
      </w:r>
      <w:r w:rsidR="006A559C" w:rsidRPr="006A612F">
        <w:t xml:space="preserve">  </w:t>
      </w:r>
    </w:p>
    <w:p w14:paraId="26EEA2D5" w14:textId="2B94E040" w:rsidR="00F70B74" w:rsidRPr="006A612F" w:rsidRDefault="00F70B74" w:rsidP="00AA6ED0">
      <w:pPr>
        <w:pStyle w:val="Document"/>
        <w:spacing w:line="240" w:lineRule="auto"/>
      </w:pPr>
      <w:r w:rsidRPr="006A612F">
        <w:t>Liability, of course, depends on the plaintiff</w:t>
      </w:r>
      <w:r w:rsidR="00BF278E" w:rsidRPr="006A612F">
        <w:t>’</w:t>
      </w:r>
      <w:r w:rsidRPr="006A612F">
        <w:t>s ability to specify the role of each defendant.</w:t>
      </w:r>
      <w:r w:rsidR="006A559C" w:rsidRPr="006A612F">
        <w:t xml:space="preserve"> </w:t>
      </w:r>
      <w:r w:rsidRPr="006A612F">
        <w:t xml:space="preserve">For example, in </w:t>
      </w:r>
      <w:r w:rsidRPr="006A612F">
        <w:rPr>
          <w:i/>
        </w:rPr>
        <w:t>Bruner v. Dunaway</w:t>
      </w:r>
      <w:r w:rsidR="003B3082" w:rsidRPr="006A612F">
        <w:rPr>
          <w:rStyle w:val="NoterefInText"/>
        </w:rPr>
        <w:footnoteReference w:id="169"/>
      </w:r>
      <w:r w:rsidRPr="006A612F">
        <w:t xml:space="preserve"> the plaintiff brought a § 1983 action against several police officials in the Eastern District of Tennessee after officers severely beat him.</w:t>
      </w:r>
      <w:r w:rsidR="00620B4E" w:rsidRPr="006A612F">
        <w:rPr>
          <w:rStyle w:val="NoterefInText"/>
        </w:rPr>
        <w:footnoteReference w:id="170"/>
      </w:r>
      <w:r w:rsidR="006A559C" w:rsidRPr="006A612F">
        <w:t xml:space="preserve"> </w:t>
      </w:r>
      <w:r w:rsidRPr="006A612F">
        <w:t>Bruner sued eight officers based on two different theories of liability: direct participation and failure to intervene.</w:t>
      </w:r>
      <w:r w:rsidRPr="006A612F">
        <w:rPr>
          <w:rStyle w:val="NoterefInText"/>
        </w:rPr>
        <w:footnoteReference w:id="171"/>
      </w:r>
      <w:r w:rsidRPr="006A612F">
        <w:t xml:space="preserve"> Only two officers admitted to using force.</w:t>
      </w:r>
      <w:r w:rsidR="006A559C" w:rsidRPr="006A612F">
        <w:t xml:space="preserve"> </w:t>
      </w:r>
      <w:r w:rsidRPr="006A612F">
        <w:t>The others each arrived during different stages of the pursuit and arrest and denied using any force.</w:t>
      </w:r>
      <w:r w:rsidRPr="006A612F">
        <w:rPr>
          <w:rStyle w:val="NoterefInText"/>
        </w:rPr>
        <w:footnoteReference w:id="172"/>
      </w:r>
      <w:r w:rsidR="006A559C" w:rsidRPr="006A612F">
        <w:t xml:space="preserve"> </w:t>
      </w:r>
      <w:r w:rsidRPr="006A612F">
        <w:t>A jury returned a verdict for the plaintiff</w:t>
      </w:r>
      <w:r w:rsidR="008C1C8E" w:rsidRPr="006A612F">
        <w:t>;</w:t>
      </w:r>
      <w:r w:rsidRPr="006A612F">
        <w:t xml:space="preserve"> however</w:t>
      </w:r>
      <w:r w:rsidR="008C1C8E" w:rsidRPr="006A612F">
        <w:t>,</w:t>
      </w:r>
      <w:r w:rsidRPr="006A612F">
        <w:t xml:space="preserve"> the judge found that there was insufficient evidence to prove that five of the defendants </w:t>
      </w:r>
      <w:r w:rsidR="00BF278E" w:rsidRPr="006A612F">
        <w:t>“</w:t>
      </w:r>
      <w:r w:rsidRPr="006A612F">
        <w:t>were personally involved in injuring plaintiff</w:t>
      </w:r>
      <w:r w:rsidR="00BF278E" w:rsidRPr="006A612F">
        <w:t>”</w:t>
      </w:r>
      <w:r w:rsidRPr="006A612F">
        <w:t xml:space="preserve"> and set the verdict aside.</w:t>
      </w:r>
      <w:r w:rsidRPr="006A612F">
        <w:rPr>
          <w:rStyle w:val="NoterefInText"/>
        </w:rPr>
        <w:footnoteReference w:id="173"/>
      </w:r>
      <w:r w:rsidR="006A559C" w:rsidRPr="006A612F">
        <w:t xml:space="preserve"> </w:t>
      </w:r>
    </w:p>
    <w:p w14:paraId="2BE99481" w14:textId="4BEC2EA4" w:rsidR="00F70B74" w:rsidRPr="006A612F" w:rsidRDefault="00F70B74" w:rsidP="00AA6ED0">
      <w:pPr>
        <w:pStyle w:val="Document"/>
        <w:spacing w:line="240" w:lineRule="auto"/>
      </w:pPr>
      <w:r w:rsidRPr="006A612F">
        <w:t>The case eventually reached the Sixth Circuit.</w:t>
      </w:r>
      <w:r w:rsidR="006A559C" w:rsidRPr="006A612F">
        <w:t xml:space="preserve"> </w:t>
      </w:r>
      <w:r w:rsidRPr="006A612F">
        <w:t xml:space="preserve">On appeal, the plaintiff argued </w:t>
      </w:r>
      <w:r w:rsidR="00BF278E" w:rsidRPr="006A612F">
        <w:t>“</w:t>
      </w:r>
      <w:r w:rsidRPr="006A612F">
        <w:t xml:space="preserve">that even assuming </w:t>
      </w:r>
      <w:r w:rsidRPr="006A612F">
        <w:rPr>
          <w:i/>
          <w:iCs/>
        </w:rPr>
        <w:t>arguendo</w:t>
      </w:r>
      <w:r w:rsidRPr="006A612F">
        <w:t xml:space="preserve"> the evidence did not demonstrate personal involvement in the administering of the beatings, the inaction of the </w:t>
      </w:r>
      <w:r w:rsidR="00BF278E" w:rsidRPr="006A612F">
        <w:t>‘</w:t>
      </w:r>
      <w:r w:rsidRPr="006A612F">
        <w:t>non-participating</w:t>
      </w:r>
      <w:r w:rsidR="00BF278E" w:rsidRPr="006A612F">
        <w:t>’</w:t>
      </w:r>
      <w:r w:rsidRPr="006A612F">
        <w:t xml:space="preserve"> officers while </w:t>
      </w:r>
      <w:r w:rsidR="00BF278E" w:rsidRPr="006A612F">
        <w:rPr>
          <w:shd w:val="clear" w:color="auto" w:fill="FFFFFF"/>
        </w:rPr>
        <w:t>. . .</w:t>
      </w:r>
      <w:r w:rsidR="004B7EA4" w:rsidRPr="006A612F">
        <w:rPr>
          <w:shd w:val="clear" w:color="auto" w:fill="FFFFFF"/>
        </w:rPr>
        <w:t xml:space="preserve"> [the plaintiff] </w:t>
      </w:r>
      <w:r w:rsidRPr="006A612F">
        <w:t>was being assaulted subjects those officers to liability.</w:t>
      </w:r>
      <w:r w:rsidR="00BF278E" w:rsidRPr="006A612F">
        <w:t>”</w:t>
      </w:r>
      <w:r w:rsidR="00AB31DD" w:rsidRPr="006A612F">
        <w:rPr>
          <w:rStyle w:val="NoterefInText"/>
        </w:rPr>
        <w:footnoteReference w:id="174"/>
      </w:r>
      <w:r w:rsidR="006A559C" w:rsidRPr="006A612F">
        <w:t xml:space="preserve"> </w:t>
      </w:r>
      <w:r w:rsidRPr="006A612F">
        <w:t xml:space="preserve">Importantly, the Sixth Circuit acknowledged that </w:t>
      </w:r>
      <w:r w:rsidR="00BF278E" w:rsidRPr="006A612F">
        <w:t>“</w:t>
      </w:r>
      <w:r w:rsidRPr="006A612F">
        <w:t xml:space="preserve">it is not necessary, in order to hold a police officer liable </w:t>
      </w:r>
      <w:r w:rsidRPr="006A612F">
        <w:lastRenderedPageBreak/>
        <w:t>under §</w:t>
      </w:r>
      <w:r w:rsidR="00904351" w:rsidRPr="006A612F">
        <w:t> </w:t>
      </w:r>
      <w:r w:rsidRPr="006A612F">
        <w:t xml:space="preserve">1983, to demonstrate </w:t>
      </w:r>
      <w:r w:rsidR="00E20FC1" w:rsidRPr="006A612F">
        <w:t xml:space="preserve">that </w:t>
      </w:r>
      <w:r w:rsidRPr="006A612F">
        <w:t xml:space="preserve">the officer actively participated in striking </w:t>
      </w:r>
      <w:r w:rsidR="00E20FC1" w:rsidRPr="006A612F">
        <w:t xml:space="preserve">a </w:t>
      </w:r>
      <w:r w:rsidRPr="006A612F">
        <w:t>plaintiff.</w:t>
      </w:r>
      <w:r w:rsidR="00BF278E" w:rsidRPr="006A612F">
        <w:t>”</w:t>
      </w:r>
      <w:r w:rsidRPr="006A612F">
        <w:rPr>
          <w:rStyle w:val="NoterefInText"/>
        </w:rPr>
        <w:footnoteReference w:id="175"/>
      </w:r>
      <w:r w:rsidRPr="006A612F">
        <w:t xml:space="preserve"> However, to prevail on a failure to intervene theory</w:t>
      </w:r>
      <w:r w:rsidR="00143C37" w:rsidRPr="006A612F">
        <w:t>,</w:t>
      </w:r>
      <w:r w:rsidRPr="006A612F">
        <w:t xml:space="preserve"> the plaintiff must prove the defendant had an opportunity to intervene.</w:t>
      </w:r>
      <w:r w:rsidR="006A559C" w:rsidRPr="006A612F">
        <w:t xml:space="preserve"> </w:t>
      </w:r>
      <w:r w:rsidRPr="006A612F">
        <w:t xml:space="preserve">Because </w:t>
      </w:r>
      <w:r w:rsidR="00BF278E" w:rsidRPr="006A612F">
        <w:t>“</w:t>
      </w:r>
      <w:r w:rsidRPr="006A612F">
        <w:t>the plaintiff was unable to identify the officers present during the time he was beaten</w:t>
      </w:r>
      <w:r w:rsidR="00BF278E" w:rsidRPr="006A612F">
        <w:t>”</w:t>
      </w:r>
      <w:r w:rsidRPr="006A612F">
        <w:t xml:space="preserve"> he could not prove they could have stopped the beating.</w:t>
      </w:r>
      <w:r w:rsidRPr="006A612F">
        <w:rPr>
          <w:rStyle w:val="NoterefInText"/>
        </w:rPr>
        <w:footnoteReference w:id="176"/>
      </w:r>
      <w:r w:rsidRPr="006A612F">
        <w:t xml:space="preserve"> It is not enough to show that </w:t>
      </w:r>
      <w:r w:rsidR="00BF278E" w:rsidRPr="006A612F">
        <w:t>“</w:t>
      </w:r>
      <w:r w:rsidRPr="006A612F">
        <w:t>the police</w:t>
      </w:r>
      <w:r w:rsidR="00BF278E" w:rsidRPr="006A612F">
        <w:t>”</w:t>
      </w:r>
      <w:r w:rsidRPr="006A612F">
        <w:t xml:space="preserve"> caused the injury.</w:t>
      </w:r>
      <w:r w:rsidRPr="006A612F">
        <w:rPr>
          <w:rStyle w:val="NoterefInText"/>
        </w:rPr>
        <w:footnoteReference w:id="177"/>
      </w:r>
      <w:r w:rsidR="006A559C" w:rsidRPr="006A612F">
        <w:t xml:space="preserve"> </w:t>
      </w:r>
      <w:r w:rsidRPr="006A612F">
        <w:t>Nor is it enough to show that a particular officer was present when the plaintiff was injured.</w:t>
      </w:r>
      <w:r w:rsidR="006A559C" w:rsidRPr="006A612F">
        <w:t xml:space="preserve"> </w:t>
      </w:r>
      <w:r w:rsidRPr="006A612F">
        <w:t>To prevail against a bystander official</w:t>
      </w:r>
      <w:r w:rsidR="00904351" w:rsidRPr="006A612F">
        <w:t>,</w:t>
      </w:r>
      <w:r w:rsidRPr="006A612F">
        <w:t xml:space="preserve"> a §</w:t>
      </w:r>
      <w:r w:rsidR="006834B3" w:rsidRPr="006A612F">
        <w:t> </w:t>
      </w:r>
      <w:r w:rsidRPr="006A612F">
        <w:t xml:space="preserve">1983 plaintiff must prove the defendant was present </w:t>
      </w:r>
      <w:r w:rsidRPr="006A612F">
        <w:rPr>
          <w:i/>
          <w:iCs/>
        </w:rPr>
        <w:t>and</w:t>
      </w:r>
      <w:r w:rsidRPr="006A612F">
        <w:t xml:space="preserve"> had an opportunity to intercede but failed to do</w:t>
      </w:r>
      <w:r w:rsidR="006834B3" w:rsidRPr="006A612F">
        <w:t> </w:t>
      </w:r>
      <w:r w:rsidRPr="006A612F">
        <w:t>so.</w:t>
      </w:r>
    </w:p>
    <w:p w14:paraId="1441C17B" w14:textId="38E02A68" w:rsidR="00F70B74" w:rsidRPr="006A612F" w:rsidRDefault="00166D0D" w:rsidP="00AA6ED0">
      <w:pPr>
        <w:pStyle w:val="SubHead3-Paragraph"/>
        <w:spacing w:line="240" w:lineRule="auto"/>
      </w:pPr>
      <w:r w:rsidRPr="006A612F">
        <w:rPr>
          <w:rStyle w:val="SubHead3-Italic"/>
        </w:rPr>
        <w:t xml:space="preserve">3. </w:t>
      </w:r>
      <w:r w:rsidR="00F70B74" w:rsidRPr="006A612F">
        <w:rPr>
          <w:rStyle w:val="SubHead3-Italic"/>
        </w:rPr>
        <w:t>Conspiracy of Silence</w:t>
      </w:r>
      <w:r w:rsidRPr="006A612F">
        <w:rPr>
          <w:rStyle w:val="SubHead3-Italic"/>
        </w:rPr>
        <w:t>.—</w:t>
      </w:r>
      <w:r w:rsidR="00F70B74" w:rsidRPr="006A612F">
        <w:t>Section 1983 excessive force victims have a different, but related, problem with police officials</w:t>
      </w:r>
      <w:r w:rsidR="00CC389F" w:rsidRPr="006A612F">
        <w:t xml:space="preserve"> who</w:t>
      </w:r>
      <w:r w:rsidR="00F70B74" w:rsidRPr="006A612F">
        <w:t xml:space="preserve"> simply refuse to talk.</w:t>
      </w:r>
      <w:r w:rsidR="006A559C" w:rsidRPr="006A612F">
        <w:t xml:space="preserve"> </w:t>
      </w:r>
      <w:r w:rsidR="00F70B74" w:rsidRPr="006A612F">
        <w:t>One of the most basic reasons § 1983 plaintiffs are unable to detail how each individual defendant contributed to their injuries is that the defendants are not forthcoming with the information.</w:t>
      </w:r>
      <w:r w:rsidR="00F70B74" w:rsidRPr="006A612F">
        <w:rPr>
          <w:rStyle w:val="NoterefInText"/>
        </w:rPr>
        <w:footnoteReference w:id="178"/>
      </w:r>
      <w:r w:rsidR="006A559C" w:rsidRPr="006A612F">
        <w:t xml:space="preserve"> </w:t>
      </w:r>
      <w:r w:rsidR="00F70B74" w:rsidRPr="006A612F">
        <w:t>Both the Seventh and Third Circuits have suggested a somewhat convoluted solution to this problem: a conspiracy of silence theory of liability.</w:t>
      </w:r>
    </w:p>
    <w:p w14:paraId="39A84AB3" w14:textId="1A1C4F1B" w:rsidR="00F70B74" w:rsidRPr="006A612F" w:rsidRDefault="00F70B74" w:rsidP="00AA6ED0">
      <w:pPr>
        <w:pStyle w:val="Document"/>
        <w:spacing w:line="240" w:lineRule="auto"/>
        <w:rPr>
          <w:shd w:val="clear" w:color="auto" w:fill="FFFFFF"/>
        </w:rPr>
      </w:pPr>
      <w:r w:rsidRPr="006A612F">
        <w:t xml:space="preserve">In </w:t>
      </w:r>
      <w:r w:rsidRPr="006A612F">
        <w:rPr>
          <w:i/>
        </w:rPr>
        <w:t>Colbert v. City of Chicago</w:t>
      </w:r>
      <w:r w:rsidR="001F64BB" w:rsidRPr="006A612F">
        <w:rPr>
          <w:iCs/>
        </w:rPr>
        <w:t>,</w:t>
      </w:r>
      <w:r w:rsidR="00EB17A3" w:rsidRPr="006A612F">
        <w:rPr>
          <w:rStyle w:val="NoterefInText"/>
        </w:rPr>
        <w:footnoteReference w:id="179"/>
      </w:r>
      <w:r w:rsidRPr="006A612F">
        <w:t xml:space="preserve"> the plaintiff filed a §</w:t>
      </w:r>
      <w:r w:rsidR="006834B3" w:rsidRPr="006A612F">
        <w:t> </w:t>
      </w:r>
      <w:r w:rsidRPr="006A612F">
        <w:t>1983 action against several police officials alleging they deprived him of his Fourth Amendment right to be free from an unreasonable search when they ransacked his home.</w:t>
      </w:r>
      <w:r w:rsidR="00BF04AA" w:rsidRPr="006A612F">
        <w:rPr>
          <w:rStyle w:val="NoterefInText"/>
        </w:rPr>
        <w:footnoteReference w:id="180"/>
      </w:r>
      <w:r w:rsidRPr="006A612F">
        <w:t xml:space="preserve"> However, because the plaintiff was confined to his living room when the police searched his home, he was unable to identify which specific officers were responsible for the damage.</w:t>
      </w:r>
      <w:r w:rsidR="00C43FF1" w:rsidRPr="006A612F">
        <w:rPr>
          <w:rStyle w:val="NoterefInText"/>
        </w:rPr>
        <w:footnoteReference w:id="181"/>
      </w:r>
      <w:r w:rsidR="006A559C" w:rsidRPr="006A612F">
        <w:t xml:space="preserve"> </w:t>
      </w:r>
      <w:r w:rsidRPr="006A612F">
        <w:t xml:space="preserve">The defendants moved for summary judgment, arguing that the plaintiff failed </w:t>
      </w:r>
      <w:r w:rsidR="00BF278E" w:rsidRPr="006A612F">
        <w:t>“</w:t>
      </w:r>
      <w:r w:rsidRPr="006A612F">
        <w:rPr>
          <w:shd w:val="clear" w:color="auto" w:fill="FFFFFF"/>
        </w:rPr>
        <w:t xml:space="preserve">to establish </w:t>
      </w:r>
      <w:r w:rsidRPr="006A612F">
        <w:rPr>
          <w:shd w:val="clear" w:color="auto" w:fill="FFFFFF"/>
        </w:rPr>
        <w:lastRenderedPageBreak/>
        <w:t xml:space="preserve">that </w:t>
      </w:r>
      <w:r w:rsidR="005B6DD3" w:rsidRPr="006A612F">
        <w:rPr>
          <w:shd w:val="clear" w:color="auto" w:fill="FFFFFF"/>
        </w:rPr>
        <w:t xml:space="preserve">[the defendants] </w:t>
      </w:r>
      <w:r w:rsidRPr="006A612F">
        <w:rPr>
          <w:shd w:val="clear" w:color="auto" w:fill="FFFFFF"/>
        </w:rPr>
        <w:t>played any role in the alleged property damage.</w:t>
      </w:r>
      <w:r w:rsidR="00BF278E" w:rsidRPr="006A612F">
        <w:rPr>
          <w:shd w:val="clear" w:color="auto" w:fill="FFFFFF"/>
        </w:rPr>
        <w:t>”</w:t>
      </w:r>
      <w:r w:rsidRPr="006A612F">
        <w:rPr>
          <w:rStyle w:val="NoterefInText"/>
        </w:rPr>
        <w:footnoteReference w:id="182"/>
      </w:r>
      <w:r w:rsidRPr="006A612F">
        <w:rPr>
          <w:shd w:val="clear" w:color="auto" w:fill="FFFFFF"/>
        </w:rPr>
        <w:t xml:space="preserve"> The trial court granted </w:t>
      </w:r>
      <w:r w:rsidR="005B6DD3" w:rsidRPr="006A612F">
        <w:rPr>
          <w:shd w:val="clear" w:color="auto" w:fill="FFFFFF"/>
        </w:rPr>
        <w:t xml:space="preserve">the </w:t>
      </w:r>
      <w:r w:rsidRPr="006A612F">
        <w:rPr>
          <w:shd w:val="clear" w:color="auto" w:fill="FFFFFF"/>
        </w:rPr>
        <w:t>defendants</w:t>
      </w:r>
      <w:r w:rsidR="00BF278E" w:rsidRPr="006A612F">
        <w:rPr>
          <w:shd w:val="clear" w:color="auto" w:fill="FFFFFF"/>
        </w:rPr>
        <w:t>’</w:t>
      </w:r>
      <w:r w:rsidRPr="006A612F">
        <w:rPr>
          <w:shd w:val="clear" w:color="auto" w:fill="FFFFFF"/>
        </w:rPr>
        <w:t xml:space="preserve"> motion for summary judgment, concluding that </w:t>
      </w:r>
      <w:r w:rsidR="00143C37" w:rsidRPr="006A612F">
        <w:rPr>
          <w:shd w:val="clear" w:color="auto" w:fill="FFFFFF"/>
        </w:rPr>
        <w:t xml:space="preserve">the plaintiff had </w:t>
      </w:r>
      <w:r w:rsidR="00BF278E" w:rsidRPr="006A612F">
        <w:rPr>
          <w:shd w:val="clear" w:color="auto" w:fill="FFFFFF"/>
        </w:rPr>
        <w:t>“</w:t>
      </w:r>
      <w:r w:rsidRPr="006A612F">
        <w:rPr>
          <w:shd w:val="clear" w:color="auto" w:fill="FFFFFF"/>
        </w:rPr>
        <w:t>not provided any evidence linking any individual Defendant to any of the damage in question.</w:t>
      </w:r>
      <w:r w:rsidR="00BF278E" w:rsidRPr="006A612F">
        <w:rPr>
          <w:shd w:val="clear" w:color="auto" w:fill="FFFFFF"/>
        </w:rPr>
        <w:t>”</w:t>
      </w:r>
      <w:r w:rsidRPr="006A612F">
        <w:rPr>
          <w:rStyle w:val="NoterefInText"/>
        </w:rPr>
        <w:footnoteReference w:id="183"/>
      </w:r>
    </w:p>
    <w:p w14:paraId="084685A7" w14:textId="01091C44" w:rsidR="00F70B74" w:rsidRPr="006A612F" w:rsidRDefault="00F70B74" w:rsidP="00AA6ED0">
      <w:pPr>
        <w:pStyle w:val="Document"/>
        <w:spacing w:line="240" w:lineRule="auto"/>
      </w:pPr>
      <w:r w:rsidRPr="006A612F">
        <w:rPr>
          <w:shd w:val="clear" w:color="auto" w:fill="FFFFFF"/>
        </w:rPr>
        <w:t>On appeal, the Seventh Circuit, like the trial court, emphasize</w:t>
      </w:r>
      <w:r w:rsidR="00BF3C02" w:rsidRPr="006A612F">
        <w:rPr>
          <w:shd w:val="clear" w:color="auto" w:fill="FFFFFF"/>
        </w:rPr>
        <w:t>d</w:t>
      </w:r>
      <w:r w:rsidRPr="006A612F">
        <w:rPr>
          <w:shd w:val="clear" w:color="auto" w:fill="FFFFFF"/>
        </w:rPr>
        <w:t xml:space="preserve"> §</w:t>
      </w:r>
      <w:r w:rsidR="00702A58" w:rsidRPr="006A612F">
        <w:rPr>
          <w:shd w:val="clear" w:color="auto" w:fill="FFFFFF"/>
        </w:rPr>
        <w:t> </w:t>
      </w:r>
      <w:r w:rsidRPr="006A612F">
        <w:rPr>
          <w:shd w:val="clear" w:color="auto" w:fill="FFFFFF"/>
        </w:rPr>
        <w:t>1983</w:t>
      </w:r>
      <w:r w:rsidR="00BF278E" w:rsidRPr="006A612F">
        <w:rPr>
          <w:shd w:val="clear" w:color="auto" w:fill="FFFFFF"/>
        </w:rPr>
        <w:t>’</w:t>
      </w:r>
      <w:r w:rsidRPr="006A612F">
        <w:rPr>
          <w:shd w:val="clear" w:color="auto" w:fill="FFFFFF"/>
        </w:rPr>
        <w:t xml:space="preserve">s </w:t>
      </w:r>
      <w:r w:rsidR="00BF278E" w:rsidRPr="006A612F">
        <w:rPr>
          <w:shd w:val="clear" w:color="auto" w:fill="FFFFFF"/>
        </w:rPr>
        <w:t>“</w:t>
      </w:r>
      <w:r w:rsidRPr="006A612F">
        <w:rPr>
          <w:shd w:val="clear" w:color="auto" w:fill="FFFFFF"/>
        </w:rPr>
        <w:t>individual-responsibility requirement.</w:t>
      </w:r>
      <w:r w:rsidR="00BF278E" w:rsidRPr="006A612F">
        <w:rPr>
          <w:shd w:val="clear" w:color="auto" w:fill="FFFFFF"/>
        </w:rPr>
        <w:t>”</w:t>
      </w:r>
      <w:r w:rsidRPr="006A612F">
        <w:rPr>
          <w:rStyle w:val="NoterefInText"/>
        </w:rPr>
        <w:footnoteReference w:id="184"/>
      </w:r>
      <w:r w:rsidRPr="006A612F">
        <w:rPr>
          <w:shd w:val="clear" w:color="auto" w:fill="FFFFFF"/>
        </w:rPr>
        <w:t xml:space="preserve"> Although the court recognized the impossible nature of requiring Colbert to link each individual defendant to the property damage,</w:t>
      </w:r>
      <w:r w:rsidRPr="006A612F">
        <w:rPr>
          <w:rStyle w:val="NoterefInText"/>
        </w:rPr>
        <w:footnoteReference w:id="185"/>
      </w:r>
      <w:r w:rsidRPr="006A612F">
        <w:rPr>
          <w:shd w:val="clear" w:color="auto" w:fill="FFFFFF"/>
        </w:rPr>
        <w:t xml:space="preserve"> the court </w:t>
      </w:r>
      <w:r w:rsidRPr="006A612F">
        <w:t>refused, as plaintiff suggested, to shift the burden of proof to the defendants.</w:t>
      </w:r>
      <w:r w:rsidRPr="006A612F">
        <w:rPr>
          <w:rStyle w:val="NoterefInText"/>
        </w:rPr>
        <w:footnoteReference w:id="186"/>
      </w:r>
      <w:r w:rsidR="006A559C" w:rsidRPr="006A612F">
        <w:t xml:space="preserve"> </w:t>
      </w:r>
      <w:r w:rsidRPr="006A612F">
        <w:t xml:space="preserve">Instead, the court suggested </w:t>
      </w:r>
      <w:r w:rsidR="006736C7" w:rsidRPr="006A612F">
        <w:t xml:space="preserve">the </w:t>
      </w:r>
      <w:r w:rsidRPr="006A612F">
        <w:t>plaintiff should have sued all ten officers who were on the scene and alleged a conspiracy of silence.</w:t>
      </w:r>
      <w:r w:rsidRPr="006A612F">
        <w:rPr>
          <w:rStyle w:val="NoterefInText"/>
        </w:rPr>
        <w:footnoteReference w:id="187"/>
      </w:r>
      <w:r w:rsidR="006A559C" w:rsidRPr="006A612F">
        <w:t xml:space="preserve"> </w:t>
      </w:r>
      <w:r w:rsidRPr="006A612F">
        <w:t>Yet, beyond this, the Seventh Circuit has not provided much guidance about how a plaintiff pleads and proves this theory.</w:t>
      </w:r>
      <w:r w:rsidRPr="006A612F">
        <w:rPr>
          <w:rStyle w:val="NoterefInText"/>
        </w:rPr>
        <w:footnoteReference w:id="188"/>
      </w:r>
    </w:p>
    <w:p w14:paraId="14821C3B" w14:textId="0901F740" w:rsidR="00F70B74" w:rsidRPr="006A612F" w:rsidRDefault="00F70B74" w:rsidP="00AA6ED0">
      <w:pPr>
        <w:pStyle w:val="Document"/>
        <w:spacing w:line="240" w:lineRule="auto"/>
      </w:pPr>
      <w:r w:rsidRPr="006A612F">
        <w:t>The Third Circuit has engaged in much more thorough discussion of the conspiracy of silence theory.</w:t>
      </w:r>
      <w:r w:rsidR="006A559C" w:rsidRPr="006A612F">
        <w:t xml:space="preserve"> </w:t>
      </w:r>
      <w:r w:rsidRPr="006A612F">
        <w:t>At the outset, it is important to point out that the conspiracy of silence theory is not a way for the plaintiff to prove that an individual defendant is personally responsible for the Fourth Amendment violation</w:t>
      </w:r>
      <w:r w:rsidR="006834B3" w:rsidRPr="006A612F">
        <w:t>;</w:t>
      </w:r>
      <w:r w:rsidRPr="006A612F">
        <w:t xml:space="preserve"> rather</w:t>
      </w:r>
      <w:r w:rsidR="006834B3" w:rsidRPr="006A612F">
        <w:t>,</w:t>
      </w:r>
      <w:r w:rsidRPr="006A612F">
        <w:t xml:space="preserve"> it creates an entirely different constitutional claim</w:t>
      </w:r>
      <w:r w:rsidR="00295D32" w:rsidRPr="006A612F">
        <w:t>—</w:t>
      </w:r>
      <w:r w:rsidRPr="006A612F">
        <w:t>a Fourteenth Amendment Due Process claim.</w:t>
      </w:r>
      <w:r w:rsidR="006A559C" w:rsidRPr="006A612F">
        <w:t xml:space="preserve"> </w:t>
      </w:r>
      <w:r w:rsidRPr="006A612F">
        <w:t xml:space="preserve">The Fourteenth Amendment Due </w:t>
      </w:r>
      <w:r w:rsidRPr="006A612F">
        <w:lastRenderedPageBreak/>
        <w:t xml:space="preserve">Process </w:t>
      </w:r>
      <w:r w:rsidR="00B37EE9" w:rsidRPr="006A612F">
        <w:t>C</w:t>
      </w:r>
      <w:r w:rsidRPr="006A612F">
        <w:t xml:space="preserve">lause includes </w:t>
      </w:r>
      <w:r w:rsidR="00BF278E" w:rsidRPr="006A612F">
        <w:t>“</w:t>
      </w:r>
      <w:r w:rsidRPr="006A612F">
        <w:t>the right of access to the courts.</w:t>
      </w:r>
      <w:r w:rsidR="00BF278E" w:rsidRPr="006A612F">
        <w:t>”</w:t>
      </w:r>
      <w:r w:rsidR="00295D32" w:rsidRPr="006A612F">
        <w:rPr>
          <w:rStyle w:val="NoterefInText"/>
        </w:rPr>
        <w:footnoteReference w:id="189"/>
      </w:r>
      <w:r w:rsidRPr="006A612F">
        <w:t xml:space="preserve"> As the Third Circuit explains in </w:t>
      </w:r>
      <w:r w:rsidRPr="006A612F">
        <w:rPr>
          <w:i/>
          <w:iCs/>
        </w:rPr>
        <w:t>Jutrowski</w:t>
      </w:r>
      <w:r w:rsidRPr="006A612F">
        <w:t xml:space="preserve">, a </w:t>
      </w:r>
      <w:r w:rsidR="00BF278E" w:rsidRPr="006A612F">
        <w:t>“‘</w:t>
      </w:r>
      <w:r w:rsidRPr="006A612F">
        <w:rPr>
          <w:shd w:val="clear" w:color="auto" w:fill="FFFFFF"/>
        </w:rPr>
        <w:t>conspiracy</w:t>
      </w:r>
      <w:r w:rsidRPr="006A612F">
        <w:t> of </w:t>
      </w:r>
      <w:r w:rsidRPr="006A612F">
        <w:rPr>
          <w:shd w:val="clear" w:color="auto" w:fill="FFFFFF"/>
        </w:rPr>
        <w:t>silence</w:t>
      </w:r>
      <w:r w:rsidR="00BF278E" w:rsidRPr="006A612F">
        <w:t>’</w:t>
      </w:r>
      <w:r w:rsidRPr="006A612F">
        <w:t xml:space="preserve"> among officers is actionable as a § </w:t>
      </w:r>
      <w:r w:rsidRPr="006A612F">
        <w:rPr>
          <w:shd w:val="clear" w:color="auto" w:fill="FFFFFF"/>
        </w:rPr>
        <w:t>1983</w:t>
      </w:r>
      <w:r w:rsidRPr="006A612F">
        <w:t xml:space="preserve"> conspiracy because the coordinated officer conduct </w:t>
      </w:r>
      <w:r w:rsidR="00BF278E" w:rsidRPr="006A612F">
        <w:t>‘</w:t>
      </w:r>
      <w:r w:rsidRPr="006A612F">
        <w:t>impede[s] an individual</w:t>
      </w:r>
      <w:r w:rsidR="00BF278E" w:rsidRPr="006A612F">
        <w:t>’</w:t>
      </w:r>
      <w:r w:rsidRPr="006A612F">
        <w:t>s access to courts</w:t>
      </w:r>
      <w:r w:rsidR="00BF278E" w:rsidRPr="006A612F">
        <w:t>’</w:t>
      </w:r>
      <w:r w:rsidRPr="006A612F">
        <w:t xml:space="preserve"> and renders </w:t>
      </w:r>
      <w:r w:rsidR="00BF278E" w:rsidRPr="006A612F">
        <w:t>‘</w:t>
      </w:r>
      <w:r w:rsidRPr="006A612F">
        <w:t>hollow</w:t>
      </w:r>
      <w:r w:rsidR="00BF278E" w:rsidRPr="006A612F">
        <w:t>’</w:t>
      </w:r>
      <w:r w:rsidRPr="006A612F">
        <w:t xml:space="preserve"> a victim</w:t>
      </w:r>
      <w:r w:rsidR="00BF278E" w:rsidRPr="006A612F">
        <w:t>’</w:t>
      </w:r>
      <w:r w:rsidRPr="006A612F">
        <w:t>s right to redress in a court of law.</w:t>
      </w:r>
      <w:r w:rsidR="00BF278E" w:rsidRPr="006A612F">
        <w:t>”</w:t>
      </w:r>
      <w:r w:rsidRPr="006A612F">
        <w:rPr>
          <w:rStyle w:val="NoterefInText"/>
        </w:rPr>
        <w:footnoteReference w:id="190"/>
      </w:r>
      <w:r w:rsidR="006A559C" w:rsidRPr="006A612F">
        <w:t xml:space="preserve"> </w:t>
      </w:r>
      <w:r w:rsidRPr="006A612F">
        <w:t xml:space="preserve">In short, an agreement to cover up excessive </w:t>
      </w:r>
      <w:r w:rsidR="00DA167F" w:rsidRPr="006A612F">
        <w:t xml:space="preserve">violence </w:t>
      </w:r>
      <w:r w:rsidRPr="006A612F">
        <w:t>may prevent §</w:t>
      </w:r>
      <w:r w:rsidR="006834B3" w:rsidRPr="006A612F">
        <w:t> </w:t>
      </w:r>
      <w:r w:rsidRPr="006A612F">
        <w:t>1983 plaintiffs from establishing their Fourth Amendment claim but may simultaneously create a Fourteenth Amendment claim.</w:t>
      </w:r>
      <w:r w:rsidR="006A559C" w:rsidRPr="006A612F">
        <w:t xml:space="preserve"> </w:t>
      </w:r>
    </w:p>
    <w:p w14:paraId="5E81BEA0" w14:textId="1377EEC8" w:rsidR="00F70B74" w:rsidRPr="006A612F" w:rsidRDefault="00F70B74" w:rsidP="00AA6ED0">
      <w:pPr>
        <w:pStyle w:val="Document"/>
        <w:spacing w:line="240" w:lineRule="auto"/>
      </w:pPr>
      <w:r w:rsidRPr="006A612F">
        <w:t>However, plaintiffs still face enormous hurdles to prove liability.</w:t>
      </w:r>
      <w:r w:rsidR="006A559C" w:rsidRPr="006A612F">
        <w:t xml:space="preserve"> </w:t>
      </w:r>
      <w:r w:rsidR="00BF278E" w:rsidRPr="006A612F">
        <w:t>“‘</w:t>
      </w:r>
      <w:r w:rsidRPr="006A612F">
        <w:t>[T]he rule is clear that</w:t>
      </w:r>
      <w:r w:rsidR="00BF278E" w:rsidRPr="006A612F">
        <w:t>’</w:t>
      </w:r>
      <w:r w:rsidRPr="006A612F">
        <w:t xml:space="preserve"> the plaintiff </w:t>
      </w:r>
      <w:r w:rsidR="00BF278E" w:rsidRPr="006A612F">
        <w:t>‘</w:t>
      </w:r>
      <w:r w:rsidRPr="006A612F">
        <w:t>must provide some factual basis to support the existence of the elements of a conspiracy: agreement and concerted action.</w:t>
      </w:r>
      <w:r w:rsidR="00BF278E" w:rsidRPr="006A612F">
        <w:t>’”</w:t>
      </w:r>
      <w:r w:rsidRPr="006A612F">
        <w:rPr>
          <w:rStyle w:val="NoterefInText"/>
        </w:rPr>
        <w:footnoteReference w:id="191"/>
      </w:r>
      <w:r w:rsidRPr="006A612F">
        <w:t xml:space="preserve"> The plaintiff can show agreement (or a meeting of the minds) through direct or circumstantial evidence.</w:t>
      </w:r>
      <w:r w:rsidRPr="006A612F">
        <w:rPr>
          <w:rStyle w:val="NoterefInText"/>
        </w:rPr>
        <w:footnoteReference w:id="192"/>
      </w:r>
      <w:r w:rsidRPr="006A612F">
        <w:t xml:space="preserve"> To prevail, plaintiffs need a more straightforward way to establish causation.</w:t>
      </w:r>
      <w:r w:rsidR="006A559C" w:rsidRPr="006A612F">
        <w:t xml:space="preserve"> </w:t>
      </w:r>
      <w:r w:rsidRPr="006A612F">
        <w:t>Tort law provides a roadmap.</w:t>
      </w:r>
      <w:bookmarkEnd w:id="0"/>
      <w:r w:rsidR="006A559C" w:rsidRPr="006A612F">
        <w:t xml:space="preserve"> </w:t>
      </w:r>
    </w:p>
    <w:p w14:paraId="327AECFF" w14:textId="7F512755" w:rsidR="00F70B74" w:rsidRPr="006A612F" w:rsidRDefault="00F70B74" w:rsidP="00AA6ED0">
      <w:pPr>
        <w:pStyle w:val="SubHead1"/>
        <w:spacing w:line="240" w:lineRule="auto"/>
      </w:pPr>
      <w:r w:rsidRPr="006A612F">
        <w:t>III.</w:t>
      </w:r>
      <w:r w:rsidR="00166D0D" w:rsidRPr="006A612F">
        <w:tab/>
      </w:r>
      <w:r w:rsidRPr="006A612F">
        <w:rPr>
          <w:i/>
          <w:iCs/>
        </w:rPr>
        <w:t>Causa Per Se</w:t>
      </w:r>
      <w:r w:rsidR="006834B3" w:rsidRPr="006A612F">
        <w:t>—</w:t>
      </w:r>
      <w:r w:rsidRPr="006A612F">
        <w:t>Causation in Itself</w:t>
      </w:r>
    </w:p>
    <w:p w14:paraId="30E2C98E" w14:textId="18E692C6" w:rsidR="00F70B74" w:rsidRPr="006A612F" w:rsidRDefault="00F70B74" w:rsidP="00AA6ED0">
      <w:pPr>
        <w:pStyle w:val="SubHead2"/>
        <w:spacing w:line="240" w:lineRule="auto"/>
      </w:pPr>
      <w:r w:rsidRPr="006A612F">
        <w:t>A.</w:t>
      </w:r>
      <w:r w:rsidR="00166D0D" w:rsidRPr="006A612F">
        <w:tab/>
      </w:r>
      <w:r w:rsidRPr="006A612F">
        <w:t xml:space="preserve">The Relationship </w:t>
      </w:r>
      <w:r w:rsidR="00904351" w:rsidRPr="006A612F">
        <w:t>B</w:t>
      </w:r>
      <w:r w:rsidRPr="006A612F">
        <w:t>etween Torts and Constitutional Torts</w:t>
      </w:r>
    </w:p>
    <w:p w14:paraId="075B1B0A" w14:textId="528772CF" w:rsidR="00F70B74" w:rsidRPr="006A612F" w:rsidRDefault="00F70B74" w:rsidP="00AA6ED0">
      <w:pPr>
        <w:pStyle w:val="Document"/>
        <w:spacing w:line="240" w:lineRule="auto"/>
      </w:pPr>
      <w:r w:rsidRPr="006A612F">
        <w:t>Courts frequently import tort theories of liability into §</w:t>
      </w:r>
      <w:r w:rsidR="006834B3" w:rsidRPr="006A612F">
        <w:t> </w:t>
      </w:r>
      <w:r w:rsidRPr="006A612F">
        <w:t xml:space="preserve">1983 jurisprudence; yet § 1983 is not simply a </w:t>
      </w:r>
      <w:r w:rsidR="00BF278E" w:rsidRPr="006A612F">
        <w:t>“</w:t>
      </w:r>
      <w:r w:rsidRPr="006A612F">
        <w:t>font of tort law</w:t>
      </w:r>
      <w:r w:rsidR="00BF278E" w:rsidRPr="006A612F">
        <w:t>”</w:t>
      </w:r>
      <w:r w:rsidRPr="006A612F">
        <w:t xml:space="preserve"> and there are important differences between the two.</w:t>
      </w:r>
      <w:r w:rsidRPr="006A612F">
        <w:rPr>
          <w:rStyle w:val="NoterefInText"/>
        </w:rPr>
        <w:footnoteReference w:id="193"/>
      </w:r>
      <w:r w:rsidR="006A559C" w:rsidRPr="006A612F">
        <w:t xml:space="preserve"> </w:t>
      </w:r>
      <w:r w:rsidRPr="006A612F">
        <w:t>To establish a negligence claim, a plaintiff must prove duty, breach, causation, and harm.</w:t>
      </w:r>
      <w:r w:rsidR="006A559C" w:rsidRPr="006A612F">
        <w:t xml:space="preserve"> </w:t>
      </w:r>
      <w:r w:rsidRPr="006A612F">
        <w:t>In contrast, to establish a §</w:t>
      </w:r>
      <w:r w:rsidR="00D86416" w:rsidRPr="006A612F">
        <w:t> </w:t>
      </w:r>
      <w:r w:rsidRPr="006A612F">
        <w:t>1983 claim</w:t>
      </w:r>
      <w:r w:rsidR="00143C37" w:rsidRPr="006A612F">
        <w:t>,</w:t>
      </w:r>
      <w:r w:rsidRPr="006A612F">
        <w:t xml:space="preserve"> </w:t>
      </w:r>
      <w:r w:rsidR="00143C37" w:rsidRPr="006A612F">
        <w:t xml:space="preserve">a </w:t>
      </w:r>
      <w:r w:rsidRPr="006A612F">
        <w:t>plaintiff must prove the following elements: a person, acting under state law, subjected or caused the plaintiff to be subjected, to a deprivation of a federally protected right.</w:t>
      </w:r>
      <w:r w:rsidR="006A559C" w:rsidRPr="006A612F">
        <w:t xml:space="preserve"> </w:t>
      </w:r>
      <w:r w:rsidRPr="006A612F">
        <w:t xml:space="preserve">There is a good argument for </w:t>
      </w:r>
      <w:r w:rsidR="00BF278E" w:rsidRPr="006A612F">
        <w:t>“</w:t>
      </w:r>
      <w:r w:rsidRPr="006A612F">
        <w:t>matching</w:t>
      </w:r>
      <w:r w:rsidR="00BF278E" w:rsidRPr="006A612F">
        <w:t>”</w:t>
      </w:r>
      <w:r w:rsidRPr="006A612F">
        <w:t xml:space="preserve"> traditional tort elements and §</w:t>
      </w:r>
      <w:r w:rsidR="00D86416" w:rsidRPr="006A612F">
        <w:t> </w:t>
      </w:r>
      <w:r w:rsidRPr="006A612F">
        <w:t>1983 elements as follows: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255"/>
        <w:gridCol w:w="1260"/>
        <w:gridCol w:w="3960"/>
      </w:tblGrid>
      <w:tr w:rsidR="004A50F2" w:rsidRPr="006A612F" w14:paraId="6B8FF307" w14:textId="77777777" w:rsidTr="001825D1">
        <w:trPr>
          <w:jc w:val="center"/>
        </w:trPr>
        <w:tc>
          <w:tcPr>
            <w:tcW w:w="1255" w:type="dxa"/>
            <w:shd w:val="clear" w:color="auto" w:fill="BFBFBF" w:themeFill="background1" w:themeFillShade="BF"/>
            <w:vAlign w:val="center"/>
          </w:tcPr>
          <w:p w14:paraId="7A403634"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center"/>
              <w:rPr>
                <w:rFonts w:ascii="Times" w:hAnsi="Times"/>
                <w:sz w:val="20"/>
                <w:szCs w:val="20"/>
              </w:rPr>
            </w:pPr>
            <w:r w:rsidRPr="006A612F">
              <w:rPr>
                <w:rFonts w:ascii="Times" w:hAnsi="Times"/>
                <w:sz w:val="20"/>
                <w:szCs w:val="20"/>
              </w:rPr>
              <w:lastRenderedPageBreak/>
              <w:t>TORT</w:t>
            </w:r>
          </w:p>
        </w:tc>
        <w:tc>
          <w:tcPr>
            <w:tcW w:w="1260" w:type="dxa"/>
            <w:shd w:val="clear" w:color="auto" w:fill="BFBFBF" w:themeFill="background1" w:themeFillShade="BF"/>
            <w:vAlign w:val="center"/>
          </w:tcPr>
          <w:p w14:paraId="0C6C7263"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center"/>
              <w:rPr>
                <w:rFonts w:ascii="Times" w:hAnsi="Times"/>
                <w:sz w:val="20"/>
                <w:szCs w:val="20"/>
              </w:rPr>
            </w:pPr>
          </w:p>
        </w:tc>
        <w:tc>
          <w:tcPr>
            <w:tcW w:w="3960" w:type="dxa"/>
            <w:shd w:val="clear" w:color="auto" w:fill="BFBFBF" w:themeFill="background1" w:themeFillShade="BF"/>
            <w:vAlign w:val="center"/>
          </w:tcPr>
          <w:p w14:paraId="376CFF6E"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center"/>
              <w:rPr>
                <w:rFonts w:ascii="Times" w:hAnsi="Times"/>
                <w:sz w:val="20"/>
                <w:szCs w:val="20"/>
              </w:rPr>
            </w:pPr>
            <w:r w:rsidRPr="006A612F">
              <w:rPr>
                <w:rFonts w:ascii="Times" w:hAnsi="Times"/>
                <w:sz w:val="20"/>
                <w:szCs w:val="20"/>
              </w:rPr>
              <w:t>§ 1983</w:t>
            </w:r>
          </w:p>
        </w:tc>
      </w:tr>
      <w:tr w:rsidR="004A50F2" w:rsidRPr="006A612F" w14:paraId="05FE8B8B" w14:textId="77777777" w:rsidTr="001825D1">
        <w:trPr>
          <w:jc w:val="center"/>
        </w:trPr>
        <w:tc>
          <w:tcPr>
            <w:tcW w:w="1255" w:type="dxa"/>
            <w:vAlign w:val="center"/>
          </w:tcPr>
          <w:p w14:paraId="0C6B4C1B"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noProof/>
                <w:sz w:val="20"/>
                <w:szCs w:val="20"/>
              </w:rPr>
              <mc:AlternateContent>
                <mc:Choice Requires="wps">
                  <w:drawing>
                    <wp:anchor distT="0" distB="0" distL="114300" distR="114300" simplePos="0" relativeHeight="251660288" behindDoc="0" locked="0" layoutInCell="1" allowOverlap="1" wp14:anchorId="31E3711C" wp14:editId="7D771171">
                      <wp:simplePos x="0" y="0"/>
                      <wp:positionH relativeFrom="column">
                        <wp:posOffset>425450</wp:posOffset>
                      </wp:positionH>
                      <wp:positionV relativeFrom="paragraph">
                        <wp:posOffset>103505</wp:posOffset>
                      </wp:positionV>
                      <wp:extent cx="977265" cy="146050"/>
                      <wp:effectExtent l="0" t="12700" r="13335" b="57150"/>
                      <wp:wrapNone/>
                      <wp:docPr id="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7265" cy="146050"/>
                              </a:xfrm>
                              <a:prstGeom prst="bentConnector3">
                                <a:avLst>
                                  <a:gd name="adj1" fmla="val 49968"/>
                                </a:avLst>
                              </a:prstGeom>
                              <a:noFill/>
                              <a:ln w="25400">
                                <a:solidFill>
                                  <a:schemeClr val="tx1">
                                    <a:lumMod val="10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7D55D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33.5pt;margin-top:8.15pt;width:76.9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WPBgIAAO4DAAAOAAAAZHJzL2Uyb0RvYy54bWysU8GO2yAQvVfqPyDuje00ySZWnD0k3V62&#10;baRtP4AAjmmBQUBi5+874CTdtreqPiCYgef33sysHwejyVn6oMA2tJqUlEjLQSh7bOi3r0/vlpSE&#10;yKxgGqxs6EUG+rh5+2bdu1pOoQMtpCcIYkPdu4Z2Mbq6KALvpGFhAk5aTLbgDYt49MdCeNYjutHF&#10;tCwXRQ9eOA9choDR3Zikm4zftpLHL20bZCS6ocgt5tXn9ZDWYrNm9dEz1yl+pcH+gYVhyuJP71A7&#10;Fhk5efUXlFHcQ4A2TjiYAtpWcZk1oJqq/EPNS8eczFrQnODuNoX/B8s/n7d27xN1PtgX9wz8R0BT&#10;it6F+p5Mh+D2nhz6TyCwjOwUIesdWm/SY1RChmzr5W6rHCLhGFw9PEwXc0o4pqrZopxn2wtW3x47&#10;H+JHCYakTUMP0sYtWIvFA/8+/4adn0PM/gpimUkMxPeKktZoLNeZaTJbrRbLVE7Evd7G3Q05PbXw&#10;pLTOBdeW9A2dzmdlmeEDaCVSNt3LvSe32hPEbWgcqnxHnwxqH2NVmb6xeTCOLTbGb8LuEJnOb+iJ&#10;0Y6FbnwQLmEHcQQyKuIoaGUaunyF30kmPliReUemNO5JvDi0IHrF7FFLmsQYKSjREocw7UYftL0W&#10;MtUujUSoDyAue5/S6YRNlRleByB17etzvvVrTDc/AQAA//8DAFBLAwQUAAYACAAAACEA04Jq/OMA&#10;AAANAQAADwAAAGRycy9kb3ducmV2LnhtbEyP3UrDQBCF7wXfYRnBO7sxkdik2ZRiUSwUxOgDbLOT&#10;H5qdDdltm76945XeDMwczpnzFevZDuKMk+8dKXhcRCCQamd6ahV8f70+LEH4oMnowREquKKHdXl7&#10;U+jcuAt94rkKreAQ8rlW0IUw5lL6ukOr/cKNSKw1brI68Dq10kz6wuF2kHEUpdLqnvhDp0d86bA+&#10;VieroEqvTda+7Zv343a5MU8fu8p3O6Xu7+btisdmBSLgHP4c8MvA/aHkYgd3IuPFoCB9Zp7A9zQB&#10;wXocRxmIg4IkS0CWhfxPUf4AAAD//wMAUEsBAi0AFAAGAAgAAAAhALaDOJL+AAAA4QEAABMAAAAA&#10;AAAAAAAAAAAAAAAAAFtDb250ZW50X1R5cGVzXS54bWxQSwECLQAUAAYACAAAACEAOP0h/9YAAACU&#10;AQAACwAAAAAAAAAAAAAAAAAvAQAAX3JlbHMvLnJlbHNQSwECLQAUAAYACAAAACEAX5zFjwYCAADu&#10;AwAADgAAAAAAAAAAAAAAAAAuAgAAZHJzL2Uyb0RvYy54bWxQSwECLQAUAAYACAAAACEA04Jq/OMA&#10;AAANAQAADwAAAAAAAAAAAAAAAABgBAAAZHJzL2Rvd25yZXYueG1sUEsFBgAAAAAEAAQA8wAAAHAF&#10;AAAAAA==&#10;" adj="10793" strokecolor="black [3213]" strokeweight="2pt">
                      <v:stroke dashstyle="1 1" endarrow="block"/>
                      <o:lock v:ext="edit" shapetype="f"/>
                    </v:shape>
                  </w:pict>
                </mc:Fallback>
              </mc:AlternateContent>
            </w:r>
            <w:r w:rsidRPr="006A612F">
              <w:rPr>
                <w:rFonts w:ascii="Times" w:hAnsi="Times"/>
                <w:sz w:val="20"/>
                <w:szCs w:val="20"/>
              </w:rPr>
              <w:t>Duty</w:t>
            </w:r>
          </w:p>
        </w:tc>
        <w:tc>
          <w:tcPr>
            <w:tcW w:w="1260" w:type="dxa"/>
            <w:vAlign w:val="center"/>
          </w:tcPr>
          <w:p w14:paraId="0B536554"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noProof/>
                <w:sz w:val="20"/>
                <w:szCs w:val="20"/>
              </w:rPr>
              <mc:AlternateContent>
                <mc:Choice Requires="wps">
                  <w:drawing>
                    <wp:anchor distT="0" distB="0" distL="114300" distR="114300" simplePos="0" relativeHeight="251659264" behindDoc="0" locked="0" layoutInCell="1" allowOverlap="1" wp14:anchorId="5BE506D2" wp14:editId="7C43A058">
                      <wp:simplePos x="0" y="0"/>
                      <wp:positionH relativeFrom="column">
                        <wp:posOffset>614680</wp:posOffset>
                      </wp:positionH>
                      <wp:positionV relativeFrom="paragraph">
                        <wp:posOffset>17780</wp:posOffset>
                      </wp:positionV>
                      <wp:extent cx="158750" cy="387350"/>
                      <wp:effectExtent l="25400" t="0" r="6350" b="6350"/>
                      <wp:wrapNone/>
                      <wp:docPr id="7"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387350"/>
                              </a:xfrm>
                              <a:prstGeom prst="leftBrace">
                                <a:avLst>
                                  <a:gd name="adj1" fmla="val 9094"/>
                                  <a:gd name="adj2" fmla="val 56667"/>
                                </a:avLst>
                              </a:prstGeom>
                              <a:noFill/>
                              <a:ln w="127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39" tIns="45720" rIns="91439"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6A70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48.4pt;margin-top:1.4pt;width:12.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YNNAIAAGIEAAAOAAAAZHJzL2Uyb0RvYy54bWysVNuO0zAQfUfiHyy/0yS9N2q6gl0WIS0X&#10;aeEDXF8as75hu02Xr2fspCXAG6IPlj0zOXNm5ky3N2et0In7IK1pcDUpMeKGWibNocFfv9y/WmMU&#10;IjGMKGt4g595wDe7ly+2nav51LZWMe4RgJhQd67BbYyuLopAW65JmFjHDTiF9ZpEePpDwTzpAF2r&#10;YlqWy6KznjlvKQ8BrHe9E+8yvhCcxk9CBB6RajBwi/n0+dyns9htSX3wxLWSDjTIP7DQRBpIeoW6&#10;I5Ggo5d/QWlJvQ1WxAm1urBCSMpzDVBNVf5RzWNLHM+1QHOCu7Yp/D9Y+vH06D77RD24B0ufAnSk&#10;6Fyor570CBCD9t0Hy2CG5BhtLvYsvE5fQhnonHv6fO0pP0dEwVgt1qsFdJ6Ca7ZezeCeMpD68rHz&#10;Ib7jVqN0abDiIr7xhKa6SU1ODyHmvjJkiE7J2bcKI6EVjOlEFNqUm/kwxVHIdByyWC6XqyHrAAj5&#10;L3kTurH3UqmsBWVQB6ynq7LMDIJVkiVvisuy5LfKI0jdYPZU5Rh11NCZ3laV6dczAjuor7dfyr5C&#10;5Cb8hq5lhF1QUjd4PUJpOWFvDcvsIpGqv0MFygyjStNJig/13rJnmJS3vdBhMeHSWv8Dow5E3uDw&#10;/Ug8x0i9N6CiTTWfbWAr8mO+WE1hUH7s2Y89xFCAanDEqL/exn6Tjs7LQwuZ+nYY+xoUImS8SKln&#10;NZAFIefSh6VLmzJ+56hffw27nwAAAP//AwBQSwMEFAAGAAgAAAAhAIGouirfAAAADAEAAA8AAABk&#10;cnMvZG93bnJldi54bWxMjz9PwzAQxXckvoN1SGzUcSKiksapEIiJAVE6MLrxkQTic2Q7bfrtuU6w&#10;3B893bvfq7eLG8URQxw8aVCrDARS6+1AnYb9x8vdGkRMhqwZPaGGM0bYNtdXtamsP9E7HnepE2xC&#10;sTIa+pSmSsrY9uhMXPkJibUvH5xJvIZO2mBObO5GmWdZKZ0ZiD/0ZsKnHtuf3ew0TLl6+z4rzO6X&#10;/efQzkVQsnjV+vZmed5wedyASLikvwu4ZGB+aBjs4GeyUYwaHkrGTxpybhc5VzwcNJTFGmRTy/8h&#10;ml8AAAD//wMAUEsBAi0AFAAGAAgAAAAhALaDOJL+AAAA4QEAABMAAAAAAAAAAAAAAAAAAAAAAFtD&#10;b250ZW50X1R5cGVzXS54bWxQSwECLQAUAAYACAAAACEAOP0h/9YAAACUAQAACwAAAAAAAAAAAAAA&#10;AAAvAQAAX3JlbHMvLnJlbHNQSwECLQAUAAYACAAAACEA72u2DTQCAABiBAAADgAAAAAAAAAAAAAA&#10;AAAuAgAAZHJzL2Uyb0RvYy54bWxQSwECLQAUAAYACAAAACEAgai6Kt8AAAAMAQAADwAAAAAAAAAA&#10;AAAAAACOBAAAZHJzL2Rvd25yZXYueG1sUEsFBgAAAAAEAAQA8wAAAJoFAAAAAA==&#10;" adj="805,12240" strokecolor="black [3200]" strokeweight="1pt">
                      <v:stroke joinstyle="miter"/>
                      <v:textbox inset="2.53997mm,,2.53997mm"/>
                    </v:shape>
                  </w:pict>
                </mc:Fallback>
              </mc:AlternateContent>
            </w:r>
          </w:p>
        </w:tc>
        <w:tc>
          <w:tcPr>
            <w:tcW w:w="3960" w:type="dxa"/>
            <w:vAlign w:val="center"/>
          </w:tcPr>
          <w:p w14:paraId="1962FFDD"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Person</w:t>
            </w:r>
          </w:p>
        </w:tc>
      </w:tr>
      <w:tr w:rsidR="004A50F2" w:rsidRPr="006A612F" w14:paraId="20A6B518" w14:textId="77777777" w:rsidTr="001825D1">
        <w:trPr>
          <w:jc w:val="center"/>
        </w:trPr>
        <w:tc>
          <w:tcPr>
            <w:tcW w:w="1255" w:type="dxa"/>
            <w:vAlign w:val="center"/>
          </w:tcPr>
          <w:p w14:paraId="113C0733"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p>
          <w:p w14:paraId="46ECEFBE"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Breach</w:t>
            </w:r>
          </w:p>
        </w:tc>
        <w:tc>
          <w:tcPr>
            <w:tcW w:w="1260" w:type="dxa"/>
            <w:vAlign w:val="center"/>
          </w:tcPr>
          <w:p w14:paraId="0AB6190E"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p>
        </w:tc>
        <w:tc>
          <w:tcPr>
            <w:tcW w:w="3960" w:type="dxa"/>
            <w:vAlign w:val="center"/>
          </w:tcPr>
          <w:p w14:paraId="06EBD713"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Acting under color of Law</w:t>
            </w:r>
          </w:p>
        </w:tc>
      </w:tr>
      <w:tr w:rsidR="004A50F2" w:rsidRPr="006A612F" w14:paraId="2097F9B0" w14:textId="77777777" w:rsidTr="001825D1">
        <w:trPr>
          <w:jc w:val="center"/>
        </w:trPr>
        <w:tc>
          <w:tcPr>
            <w:tcW w:w="1255" w:type="dxa"/>
            <w:vAlign w:val="center"/>
          </w:tcPr>
          <w:p w14:paraId="367E0E3F"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Causation</w:t>
            </w:r>
          </w:p>
        </w:tc>
        <w:tc>
          <w:tcPr>
            <w:tcW w:w="1260" w:type="dxa"/>
            <w:vAlign w:val="center"/>
          </w:tcPr>
          <w:p w14:paraId="1CF54707"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noProof/>
                <w:sz w:val="20"/>
                <w:szCs w:val="20"/>
                <w:bdr w:val="none" w:sz="0" w:space="0" w:color="auto"/>
              </w:rPr>
              <mc:AlternateContent>
                <mc:Choice Requires="wps">
                  <w:drawing>
                    <wp:anchor distT="0" distB="0" distL="114300" distR="114300" simplePos="0" relativeHeight="251663360" behindDoc="0" locked="0" layoutInCell="1" allowOverlap="1" wp14:anchorId="496B4C0D" wp14:editId="345160C5">
                      <wp:simplePos x="0" y="0"/>
                      <wp:positionH relativeFrom="column">
                        <wp:posOffset>-227330</wp:posOffset>
                      </wp:positionH>
                      <wp:positionV relativeFrom="paragraph">
                        <wp:posOffset>83185</wp:posOffset>
                      </wp:positionV>
                      <wp:extent cx="969010" cy="67945"/>
                      <wp:effectExtent l="12700" t="63500" r="0" b="209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9010" cy="679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FC31E0" id="_x0000_t32" coordsize="21600,21600" o:spt="32" o:oned="t" path="m,l21600,21600e" filled="f">
                      <v:path arrowok="t" fillok="f" o:connecttype="none"/>
                      <o:lock v:ext="edit" shapetype="t"/>
                    </v:shapetype>
                    <v:shape id="AutoShape 10" o:spid="_x0000_s1026" type="#_x0000_t32" style="position:absolute;margin-left:-17.9pt;margin-top:6.55pt;width:76.3pt;height: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MSygEAAHADAAAOAAAAZHJzL2Uyb0RvYy54bWysU01v2zAMvQ/YfxB0X+wGbbYYcXpI1126&#10;LUC33RVJtoXJokAqcfLvRylp9nUb5oNAitLTe4/06v44enGwSA5CK29mtRQ2aDAu9K38+uXxzTsp&#10;KKlglIdgW3myJO/Xr1+tptjYOQzgjUXBIIGaKbZySCk2VUV6sKOiGUQbuNgBjipxin1lUE2MPvpq&#10;XteLagI0EUFbIt59OBfluuB3ndXpc9eRTcK3krmlsmJZd3mt1ivV9Kji4PSFhvoHFqNygR+9Qj2o&#10;pMQe3V9Qo9MIBF2aaRgr6DqnbdHAam7qP9Q8DyraooXNoXi1if4frP502IQtZur6GJ7jE+jvxKZU&#10;U6TmWswJxS2K3fQRDLdR7RMUvccOR9F5F79x98sOaxLHYvDparA9JqF5c7lYskopNJcWb5e3d9n/&#10;SjUZJVOISOmDhVHkoJWUULl+SBsIgTsJeH5BHZ4onS++XMiXAzw670tDfRBTK+d3t3VdOBF4Z3I1&#10;nyPsdxuP4qDyTJTvQuO3Ywj7YAraYJV5f4mTcp5jkU6RbUjoVOi9lfm50RopvOXfIEdnfj5crMzu&#10;5aGkZgfmtMVczhm3tThwGcE8N7/m5dTPH2X9AwAA//8DAFBLAwQUAAYACAAAACEAN8JXeuIAAAAO&#10;AQAADwAAAGRycy9kb3ducmV2LnhtbEyPwW7CMAyG75P2DpEn7QZpKaCqNEUItOM2DXiAtDFtRZNU&#10;jSndnn7mtF0s2b/9+/vz7WQ7MeIQWu8UxPMIBLrKm9bVCs6nt1kKIpB2RnfeoYJvDLAtnp9ynRl/&#10;d184HqkWbOJCphU0RH0mZagatDrMfY+OtYsfrCZuh1qaQd/Z3HZyEUVraXXr+EOje9w3WF2PN6vg&#10;/Wc1HXYfaZk0Zn8dP0/LC9FSqdeX6bDhstuAIJzo7wIeGZgfCgYr/c2ZIDoFs2TF/MRCEoN4LMRr&#10;HpQKFkkKssjl/xjFLwAAAP//AwBQSwECLQAUAAYACAAAACEAtoM4kv4AAADhAQAAEwAAAAAAAAAA&#10;AAAAAAAAAAAAW0NvbnRlbnRfVHlwZXNdLnhtbFBLAQItABQABgAIAAAAIQA4/SH/1gAAAJQBAAAL&#10;AAAAAAAAAAAAAAAAAC8BAABfcmVscy8ucmVsc1BLAQItABQABgAIAAAAIQBrIOMSygEAAHADAAAO&#10;AAAAAAAAAAAAAAAAAC4CAABkcnMvZTJvRG9jLnhtbFBLAQItABQABgAIAAAAIQA3wld64gAAAA4B&#10;AAAPAAAAAAAAAAAAAAAAACQEAABkcnMvZG93bnJldi54bWxQSwUGAAAAAAQABADzAAAAMwUAAAAA&#10;" strokeweight="2pt">
                      <v:stroke endarrow="block"/>
                      <o:lock v:ext="edit" shapetype="f"/>
                    </v:shape>
                  </w:pict>
                </mc:Fallback>
              </mc:AlternateContent>
            </w:r>
            <w:r w:rsidRPr="006A612F">
              <w:rPr>
                <w:rFonts w:ascii="Times" w:hAnsi="Times"/>
                <w:noProof/>
                <w:sz w:val="20"/>
                <w:szCs w:val="20"/>
                <w:bdr w:val="none" w:sz="0" w:space="0" w:color="auto"/>
              </w:rPr>
              <mc:AlternateContent>
                <mc:Choice Requires="wps">
                  <w:drawing>
                    <wp:anchor distT="0" distB="0" distL="114300" distR="114300" simplePos="0" relativeHeight="251662336" behindDoc="0" locked="0" layoutInCell="1" allowOverlap="1" wp14:anchorId="30FA3B6F" wp14:editId="0AC6F150">
                      <wp:simplePos x="0" y="0"/>
                      <wp:positionH relativeFrom="column">
                        <wp:posOffset>-369570</wp:posOffset>
                      </wp:positionH>
                      <wp:positionV relativeFrom="paragraph">
                        <wp:posOffset>-83820</wp:posOffset>
                      </wp:positionV>
                      <wp:extent cx="1014095" cy="399415"/>
                      <wp:effectExtent l="12700" t="12700" r="40005" b="323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4095" cy="399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523701" id="AutoShape 9" o:spid="_x0000_s1026" type="#_x0000_t32" style="position:absolute;margin-left:-29.1pt;margin-top:-6.6pt;width:79.8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wxQEAAGgDAAAOAAAAZHJzL2Uyb0RvYy54bWysU01v2zAMvQ/YfxB0X2xnybAYcXpI1126&#10;LUC3H6BIsi1MFgVSiZ1/P0lxs69bUR8EUhQf+R7p7d00WHbWSAZcw6tFyZl2EpRxXcN/fH9495Ez&#10;CsIpYcHphl808bvd2zfb0dd6CT1YpZFFEEf16Bveh+DroiDZ60HQArx2MdgCDiJEF7tCoRgj+mCL&#10;ZVl+KEZA5RGkJoq399cg32X8ttUyfGtb0oHZhsfeQj4xn8d0FrutqDsUvjdybkO8oItBGBeL3qDu&#10;RRDshOY/qMFIBII2LCQMBbStkTpziGyq8h82T73wOnOJ4pC/yUSvByu/nvfugKl1Obkn/wjyJ0VR&#10;itFTfQsmh/wB2XH8AiqOUZwCZL5Ti0NKjkzYlGW93GTVU2AyXlZltSo3a85kjL3fbFbVOuleiPo5&#10;2yOFzxoGloyGU0Bhuj7swbk4QcAq1xLnRwrXxOeEVNrBg7E2D9I6NjZ8uV6VZc4gsEalaHpH2B33&#10;FtlZpF3I39zGX88QTk5ltF4L9Wm2gzA22ixcfKQf0AjXWc1TuUErzqyO65+sa3/WzRIm1dIyUn0E&#10;dTlgCicvjjMrMK9e2pc//fzq9w+y+wUAAP//AwBQSwMEFAAGAAgAAAAhAN73cI3iAAAADwEAAA8A&#10;AABkcnMvZG93bnJldi54bWxMT8tOwzAQvCPxD9YicWvtFAIhjVOhAsqx0Fbi6iTbxMKPKHbb9O/Z&#10;nuCymtXOzqNYTdawE45BeychmQtg6BrfatdJ2O8+ZhmwEJVrlfEOJVwwwKq8vSlU3vqz+8LTNnaM&#10;RFzIlYQ+xiHnPDQ9WhXmfkBHt4MfrYq0jh1vR3UmcWv4QognbpV25NCrAdc9Nj/bo5VQfe+r9edU&#10;1TtzEInVm0v6nmkp7++mtyWN1yWwiFP8+4BrB8oPJQWr/dG1gRkJszRbEJVA8kDgyhBJCqyW8Pjy&#10;DLws+P8e5S8AAAD//wMAUEsBAi0AFAAGAAgAAAAhALaDOJL+AAAA4QEAABMAAAAAAAAAAAAAAAAA&#10;AAAAAFtDb250ZW50X1R5cGVzXS54bWxQSwECLQAUAAYACAAAACEAOP0h/9YAAACUAQAACwAAAAAA&#10;AAAAAAAAAAAvAQAAX3JlbHMvLnJlbHNQSwECLQAUAAYACAAAACEAUpX2sMUBAABoAwAADgAAAAAA&#10;AAAAAAAAAAAuAgAAZHJzL2Uyb0RvYy54bWxQSwECLQAUAAYACAAAACEA3vdwjeIAAAAPAQAADwAA&#10;AAAAAAAAAAAAAAAfBAAAZHJzL2Rvd25yZXYueG1sUEsFBgAAAAAEAAQA8wAAAC4FAAAAAA==&#10;" strokeweight="2pt">
                      <v:stroke endarrow="block"/>
                      <o:lock v:ext="edit" shapetype="f"/>
                    </v:shape>
                  </w:pict>
                </mc:Fallback>
              </mc:AlternateContent>
            </w:r>
          </w:p>
        </w:tc>
        <w:tc>
          <w:tcPr>
            <w:tcW w:w="3960" w:type="dxa"/>
            <w:vAlign w:val="center"/>
          </w:tcPr>
          <w:p w14:paraId="08B29D9B"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Subjects or causes a person to be subjected</w:t>
            </w:r>
          </w:p>
          <w:p w14:paraId="4754F06A"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p>
        </w:tc>
      </w:tr>
      <w:tr w:rsidR="004A50F2" w:rsidRPr="006A612F" w14:paraId="07E9DD82" w14:textId="77777777" w:rsidTr="001825D1">
        <w:trPr>
          <w:jc w:val="center"/>
        </w:trPr>
        <w:tc>
          <w:tcPr>
            <w:tcW w:w="1255" w:type="dxa"/>
            <w:vAlign w:val="center"/>
          </w:tcPr>
          <w:p w14:paraId="01528CFD"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noProof/>
                <w:sz w:val="20"/>
                <w:szCs w:val="20"/>
                <w:bdr w:val="none" w:sz="0" w:space="0" w:color="auto"/>
              </w:rPr>
              <mc:AlternateContent>
                <mc:Choice Requires="wps">
                  <w:drawing>
                    <wp:anchor distT="0" distB="0" distL="114300" distR="114300" simplePos="0" relativeHeight="251661312" behindDoc="0" locked="0" layoutInCell="1" allowOverlap="1" wp14:anchorId="0D243154" wp14:editId="40851DE3">
                      <wp:simplePos x="0" y="0"/>
                      <wp:positionH relativeFrom="column">
                        <wp:posOffset>403225</wp:posOffset>
                      </wp:positionH>
                      <wp:positionV relativeFrom="paragraph">
                        <wp:posOffset>57785</wp:posOffset>
                      </wp:positionV>
                      <wp:extent cx="1047115" cy="11430"/>
                      <wp:effectExtent l="0" t="63500" r="0" b="520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115" cy="114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9EDCD9F" id="AutoShape 11" o:spid="_x0000_s1026" type="#_x0000_t32" style="position:absolute;margin-left:31.75pt;margin-top:4.55pt;width:82.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VxQEAAGcDAAAOAAAAZHJzL2Uyb0RvYy54bWysU01v2zAMvQ/YfxB0X2xn6TYYcXpI1126&#10;LUC7H8BIsi1MFgVSiZN/P0lNs6/bMB8EUhQf+R7p9e1pcuJoiC36TjaLWgrjFWrrh05+e7p/80EK&#10;juA1OPSmk2fD8nbz+tV6Dq1Z4ohOGxIJxHM7h06OMYa2qliNZgJeYDA+BXukCWJyaag0wZzQJ1ct&#10;6/pdNSPpQKgMc7q9ew7KTcHve6Pi175nE4XrZOotlpPKuc9ntVlDOxCE0apLG/APXUxgfSp6hbqD&#10;COJA9i+oySpCxj4uFE4V9r1VpnBIbJr6DzaPIwRTuCRxOFxl4v8Hq74ct35HuXV18o/hAdV3TqJU&#10;c+D2GswOhx2J/fwZdRojHCIWvqeeppycmIhTkfV8ldWcolDpsqlX75vmRgqVYk2zeltkr6B9SQ7E&#10;8ZPBSWSjkxwJ7DDGLXqfBojUlFJwfOCYW4P2JSFX9nhvnStzdF7MnVzerOq6ZDA6q3M0v2Ma9ltH&#10;4gh5FcqXp5/QfntGePC6oI0G9MeLHcG6ZIt4Dol9JAt+cEbmcpPRUjiTtj9bz4jOXxTMouVd5HaP&#10;+ryjHM5emmYpfdm8vC6/+uXVz/9j8wMAAP//AwBQSwMEFAAGAAgAAAAhAIxeq/TgAAAADAEAAA8A&#10;AABkcnMvZG93bnJldi54bWxMT8tOwzAQvCPxD9YicaN2Aq3SNE6FCijHQluJqxNvE4vYjmK3Tf+e&#10;5VQuI61mdh7FerI9O+MYjHcSkpkAhq7x2rhWwmH/8ZQBC1E5rXrvUMIVA6zL+7tC5dpf3Beed7Fl&#10;ZOJCriR0MQ4556Hp0Kow8wM64o5+tCrSObZcj+pC5rbnqRALbpVxlNCpATcdNj+7k5VQfR+qzedU&#10;1fv+KBJrttf5e2akfHyY3lYErytgEad4+4C/DdQfSipW+5PTgfUSFs9zUkpYJsCITtPsBVhNOrEE&#10;Xhb8/4jyFwAA//8DAFBLAQItABQABgAIAAAAIQC2gziS/gAAAOEBAAATAAAAAAAAAAAAAAAAAAAA&#10;AABbQ29udGVudF9UeXBlc10ueG1sUEsBAi0AFAAGAAgAAAAhADj9If/WAAAAlAEAAAsAAAAAAAAA&#10;AAAAAAAALwEAAF9yZWxzLy5yZWxzUEsBAi0AFAAGAAgAAAAhAIAiIJXFAQAAZwMAAA4AAAAAAAAA&#10;AAAAAAAALgIAAGRycy9lMm9Eb2MueG1sUEsBAi0AFAAGAAgAAAAhAIxeq/TgAAAADAEAAA8AAAAA&#10;AAAAAAAAAAAAHwQAAGRycy9kb3ducmV2LnhtbFBLBQYAAAAABAAEAPMAAAAsBQAAAAA=&#10;" strokeweight="2pt">
                      <v:stroke endarrow="block"/>
                      <o:lock v:ext="edit" shapetype="f"/>
                    </v:shape>
                  </w:pict>
                </mc:Fallback>
              </mc:AlternateContent>
            </w:r>
            <w:r w:rsidRPr="006A612F">
              <w:rPr>
                <w:rFonts w:ascii="Times" w:hAnsi="Times"/>
                <w:sz w:val="20"/>
                <w:szCs w:val="20"/>
              </w:rPr>
              <w:t>Harm</w:t>
            </w:r>
          </w:p>
        </w:tc>
        <w:tc>
          <w:tcPr>
            <w:tcW w:w="1260" w:type="dxa"/>
            <w:vAlign w:val="center"/>
          </w:tcPr>
          <w:p w14:paraId="56F7744A"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p>
        </w:tc>
        <w:tc>
          <w:tcPr>
            <w:tcW w:w="3960" w:type="dxa"/>
            <w:vAlign w:val="center"/>
          </w:tcPr>
          <w:p w14:paraId="6E35256E" w14:textId="77777777" w:rsidR="004A50F2" w:rsidRPr="006A612F" w:rsidRDefault="004A50F2" w:rsidP="00AA6ED0">
            <w:pPr>
              <w:pStyle w:val="Body"/>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Times" w:hAnsi="Times"/>
                <w:sz w:val="20"/>
                <w:szCs w:val="20"/>
              </w:rPr>
            </w:pPr>
            <w:r w:rsidRPr="006A612F">
              <w:rPr>
                <w:rFonts w:ascii="Times" w:hAnsi="Times"/>
                <w:sz w:val="20"/>
                <w:szCs w:val="20"/>
              </w:rPr>
              <w:t>To the deprivation of a constitutional right</w:t>
            </w:r>
          </w:p>
        </w:tc>
      </w:tr>
    </w:tbl>
    <w:p w14:paraId="4A3E77C7" w14:textId="77777777" w:rsidR="006834B3" w:rsidRPr="006A612F" w:rsidRDefault="006834B3" w:rsidP="00AA6ED0">
      <w:pPr>
        <w:pStyle w:val="Document"/>
        <w:spacing w:line="240" w:lineRule="auto"/>
      </w:pPr>
    </w:p>
    <w:p w14:paraId="3A485213" w14:textId="431163BF" w:rsidR="00F70B74" w:rsidRPr="006A612F" w:rsidRDefault="00F70B74" w:rsidP="00AA6ED0">
      <w:pPr>
        <w:pStyle w:val="Document"/>
        <w:spacing w:line="240" w:lineRule="auto"/>
      </w:pPr>
      <w:r w:rsidRPr="006A612F">
        <w:t>Of all the elements</w:t>
      </w:r>
      <w:r w:rsidR="00904351" w:rsidRPr="006A612F">
        <w:t xml:space="preserve"> in § 1983 and tort cases</w:t>
      </w:r>
      <w:r w:rsidRPr="006A612F">
        <w:t>, the causation requirement tracks most closely</w:t>
      </w:r>
      <w:r w:rsidR="00904351" w:rsidRPr="006A612F">
        <w:t xml:space="preserve"> from one to the other</w:t>
      </w:r>
      <w:r w:rsidRPr="006A612F">
        <w:t>. In torts</w:t>
      </w:r>
      <w:r w:rsidR="00143C37" w:rsidRPr="006A612F">
        <w:t>,</w:t>
      </w:r>
      <w:r w:rsidRPr="006A612F">
        <w:t xml:space="preserve"> the relevant question is whether the breach of duty caused the harm.</w:t>
      </w:r>
      <w:r w:rsidRPr="006A612F">
        <w:rPr>
          <w:rStyle w:val="NoterefInText"/>
        </w:rPr>
        <w:footnoteReference w:id="194"/>
      </w:r>
      <w:r w:rsidRPr="006A612F">
        <w:t xml:space="preserve"> In §</w:t>
      </w:r>
      <w:r w:rsidR="00D86416" w:rsidRPr="006A612F">
        <w:t> </w:t>
      </w:r>
      <w:r w:rsidRPr="006A612F">
        <w:t>1983 litigation</w:t>
      </w:r>
      <w:r w:rsidR="00143C37" w:rsidRPr="006A612F">
        <w:t>,</w:t>
      </w:r>
      <w:r w:rsidRPr="006A612F">
        <w:t xml:space="preserve"> the relevant question is whether the individual defendant caused the constitutional deprivation. Although there is a distinction between these inquiries, courts rely on similar concepts of causation to resolve both.</w:t>
      </w:r>
      <w:r w:rsidR="006A559C" w:rsidRPr="006A612F">
        <w:t xml:space="preserve"> </w:t>
      </w:r>
      <w:r w:rsidRPr="006A612F">
        <w:t xml:space="preserve">In fact, when it comes to questions of causation, the Supreme Court has stated (more than once) that </w:t>
      </w:r>
      <w:r w:rsidR="00BF278E" w:rsidRPr="006A612F">
        <w:t>“</w:t>
      </w:r>
      <w:r w:rsidRPr="006A612F">
        <w:t>§</w:t>
      </w:r>
      <w:r w:rsidR="000B1D04" w:rsidRPr="006A612F">
        <w:t> </w:t>
      </w:r>
      <w:r w:rsidRPr="006A612F">
        <w:t xml:space="preserve">1983 </w:t>
      </w:r>
      <w:r w:rsidR="00BF278E" w:rsidRPr="006A612F">
        <w:t>‘</w:t>
      </w:r>
      <w:r w:rsidRPr="006A612F">
        <w:t>should be read against the background of tort liability that makes a man responsible for the natural consequences of his actions.</w:t>
      </w:r>
      <w:r w:rsidR="00BF278E" w:rsidRPr="006A612F">
        <w:t>’”</w:t>
      </w:r>
      <w:r w:rsidRPr="006A612F">
        <w:rPr>
          <w:rStyle w:val="NoterefInText"/>
        </w:rPr>
        <w:footnoteReference w:id="195"/>
      </w:r>
      <w:r w:rsidRPr="006A612F">
        <w:t xml:space="preserve"> From this, appellate courts have held that, like their common law tort counterparts, §</w:t>
      </w:r>
      <w:r w:rsidR="000B1D04" w:rsidRPr="006A612F">
        <w:t> </w:t>
      </w:r>
      <w:r w:rsidRPr="006A612F">
        <w:t>1983 plaintiffs must prove both cause-in-fact and proximate cause.</w:t>
      </w:r>
      <w:r w:rsidRPr="006A612F">
        <w:rPr>
          <w:rStyle w:val="NoterefInText"/>
        </w:rPr>
        <w:footnoteReference w:id="196"/>
      </w:r>
      <w:r w:rsidRPr="006A612F">
        <w:t xml:space="preserve"> In short, when it comes to causation, § 1983 already borrows heavily from common law tort doctrine.</w:t>
      </w:r>
    </w:p>
    <w:p w14:paraId="038184EA" w14:textId="09D335B5" w:rsidR="00F70B74" w:rsidRPr="006A612F" w:rsidRDefault="00F70B74" w:rsidP="00AA6ED0">
      <w:pPr>
        <w:pStyle w:val="Document"/>
        <w:spacing w:line="240" w:lineRule="auto"/>
      </w:pPr>
      <w:r w:rsidRPr="006A612F">
        <w:t>There is also a clear correlation between § 1983</w:t>
      </w:r>
      <w:r w:rsidR="00BF278E" w:rsidRPr="006A612F">
        <w:t>’</w:t>
      </w:r>
      <w:r w:rsidRPr="006A612F">
        <w:t>s statutory deprivation requirement and tort concepts of breach and harm.</w:t>
      </w:r>
      <w:r w:rsidR="006A559C" w:rsidRPr="006A612F">
        <w:t xml:space="preserve"> </w:t>
      </w:r>
      <w:r w:rsidRPr="006A612F">
        <w:t>By proving the defendant deprived them of a constitutional right</w:t>
      </w:r>
      <w:r w:rsidR="00904351" w:rsidRPr="006A612F">
        <w:t>,</w:t>
      </w:r>
      <w:r w:rsidRPr="006A612F">
        <w:t xml:space="preserve"> § 1983 plaintiffs establish breach</w:t>
      </w:r>
      <w:r w:rsidR="00A477B4" w:rsidRPr="006A612F">
        <w:t>—</w:t>
      </w:r>
      <w:r w:rsidRPr="006A612F">
        <w:t>the breach of a constitutional right</w:t>
      </w:r>
      <w:r w:rsidR="00A477B4" w:rsidRPr="006A612F">
        <w:t>—</w:t>
      </w:r>
      <w:r w:rsidRPr="006A612F">
        <w:rPr>
          <w:i/>
          <w:iCs/>
        </w:rPr>
        <w:t>and</w:t>
      </w:r>
      <w:r w:rsidRPr="006A612F">
        <w:t xml:space="preserve"> harm.</w:t>
      </w:r>
      <w:r w:rsidRPr="006A612F">
        <w:rPr>
          <w:rStyle w:val="NoterefInText"/>
        </w:rPr>
        <w:footnoteReference w:id="197"/>
      </w:r>
      <w:r w:rsidR="006A559C" w:rsidRPr="006A612F">
        <w:t xml:space="preserve"> </w:t>
      </w:r>
      <w:r w:rsidRPr="006A612F">
        <w:t xml:space="preserve">The injury is the constitutional deprivation. However, it is important to note that plaintiffs prove </w:t>
      </w:r>
      <w:r w:rsidR="00BF278E" w:rsidRPr="006A612F">
        <w:t>“</w:t>
      </w:r>
      <w:r w:rsidRPr="006A612F">
        <w:t>breach</w:t>
      </w:r>
      <w:r w:rsidR="00BF278E" w:rsidRPr="006A612F">
        <w:t>”</w:t>
      </w:r>
      <w:r w:rsidRPr="006A612F">
        <w:t xml:space="preserve"> differently in common law tort cases and §</w:t>
      </w:r>
      <w:r w:rsidR="000B1D04" w:rsidRPr="006A612F">
        <w:t> </w:t>
      </w:r>
      <w:r w:rsidRPr="006A612F">
        <w:t>1983 cases.</w:t>
      </w:r>
      <w:r w:rsidR="006A559C" w:rsidRPr="006A612F">
        <w:t xml:space="preserve"> </w:t>
      </w:r>
      <w:r w:rsidRPr="006A612F">
        <w:t xml:space="preserve">Generally speaking, </w:t>
      </w:r>
      <w:r w:rsidR="00BF278E" w:rsidRPr="006A612F">
        <w:t>“</w:t>
      </w:r>
      <w:r w:rsidRPr="006A612F">
        <w:t>breach</w:t>
      </w:r>
      <w:r w:rsidR="00BF278E" w:rsidRPr="006A612F">
        <w:t>”</w:t>
      </w:r>
      <w:r w:rsidRPr="006A612F">
        <w:t xml:space="preserve"> simply means </w:t>
      </w:r>
      <w:r w:rsidR="00BF278E" w:rsidRPr="006A612F">
        <w:t>“</w:t>
      </w:r>
      <w:r w:rsidR="00D43776" w:rsidRPr="006A612F">
        <w:t>[</w:t>
      </w:r>
      <w:r w:rsidRPr="006A612F">
        <w:rPr>
          <w:shd w:val="clear" w:color="auto" w:fill="FFFFFF"/>
        </w:rPr>
        <w:t>a</w:t>
      </w:r>
      <w:r w:rsidR="00D43776" w:rsidRPr="006A612F">
        <w:rPr>
          <w:shd w:val="clear" w:color="auto" w:fill="FFFFFF"/>
        </w:rPr>
        <w:t>]</w:t>
      </w:r>
      <w:r w:rsidRPr="006A612F">
        <w:rPr>
          <w:shd w:val="clear" w:color="auto" w:fill="FFFFFF"/>
        </w:rPr>
        <w:t xml:space="preserve"> violation or infraction of a law, obligation, or agreement.</w:t>
      </w:r>
      <w:r w:rsidR="00BF278E" w:rsidRPr="006A612F">
        <w:rPr>
          <w:shd w:val="clear" w:color="auto" w:fill="FFFFFF"/>
        </w:rPr>
        <w:t>”</w:t>
      </w:r>
      <w:r w:rsidRPr="006A612F">
        <w:rPr>
          <w:rStyle w:val="NoterefInText"/>
        </w:rPr>
        <w:footnoteReference w:id="198"/>
      </w:r>
      <w:r w:rsidRPr="006A612F">
        <w:rPr>
          <w:shd w:val="clear" w:color="auto" w:fill="FFFFFF"/>
        </w:rPr>
        <w:t xml:space="preserve"> </w:t>
      </w:r>
      <w:r w:rsidRPr="006A612F">
        <w:t xml:space="preserve">Under the common law of torts, </w:t>
      </w:r>
      <w:r w:rsidR="00BF278E" w:rsidRPr="006A612F">
        <w:t>“</w:t>
      </w:r>
      <w:r w:rsidRPr="006A612F">
        <w:t>breach</w:t>
      </w:r>
      <w:r w:rsidR="00BF278E" w:rsidRPr="006A612F">
        <w:t>”</w:t>
      </w:r>
      <w:r w:rsidRPr="006A612F">
        <w:t xml:space="preserve"> </w:t>
      </w:r>
      <w:r w:rsidRPr="006A612F">
        <w:lastRenderedPageBreak/>
        <w:t xml:space="preserve">refers to a </w:t>
      </w:r>
      <w:r w:rsidR="00BF278E" w:rsidRPr="006A612F">
        <w:t>“</w:t>
      </w:r>
      <w:r w:rsidRPr="006A612F">
        <w:t>breach of a duty.</w:t>
      </w:r>
      <w:r w:rsidR="00BF278E" w:rsidRPr="006A612F">
        <w:t>”</w:t>
      </w:r>
      <w:r w:rsidRPr="006A612F">
        <w:rPr>
          <w:rStyle w:val="NoterefInText"/>
        </w:rPr>
        <w:footnoteReference w:id="199"/>
      </w:r>
      <w:r w:rsidR="006A559C" w:rsidRPr="006A612F">
        <w:t xml:space="preserve"> </w:t>
      </w:r>
      <w:r w:rsidRPr="006A612F">
        <w:t>In tort law, every person has a general duty to exercise reasonable care.</w:t>
      </w:r>
      <w:bookmarkStart w:id="15" w:name="_Ref83810201"/>
      <w:r w:rsidRPr="006A612F">
        <w:rPr>
          <w:rStyle w:val="NoterefInText"/>
        </w:rPr>
        <w:footnoteReference w:id="200"/>
      </w:r>
      <w:bookmarkEnd w:id="15"/>
      <w:r w:rsidR="006A559C" w:rsidRPr="006A612F">
        <w:t xml:space="preserve"> </w:t>
      </w:r>
      <w:r w:rsidRPr="006A612F">
        <w:t>A person breaches this duty of care by acting negligently (i.e., by not exercising reasonable care),</w:t>
      </w:r>
      <w:r w:rsidRPr="006A612F">
        <w:rPr>
          <w:rStyle w:val="NoterefInText"/>
        </w:rPr>
        <w:footnoteReference w:id="201"/>
      </w:r>
      <w:r w:rsidRPr="006A612F">
        <w:t xml:space="preserve"> which courts often judge using the </w:t>
      </w:r>
      <w:r w:rsidR="00BF278E" w:rsidRPr="006A612F">
        <w:t>“</w:t>
      </w:r>
      <w:r w:rsidRPr="006A612F">
        <w:t>objective reasonable person standard.</w:t>
      </w:r>
      <w:r w:rsidR="00BF278E" w:rsidRPr="006A612F">
        <w:t>”</w:t>
      </w:r>
      <w:r w:rsidRPr="006A612F">
        <w:rPr>
          <w:rStyle w:val="NoterefInText"/>
        </w:rPr>
        <w:footnoteReference w:id="202"/>
      </w:r>
      <w:r w:rsidRPr="006A612F">
        <w:t xml:space="preserve"> In contrast, in §</w:t>
      </w:r>
      <w:r w:rsidR="00447E09" w:rsidRPr="006A612F">
        <w:t> </w:t>
      </w:r>
      <w:r w:rsidRPr="006A612F">
        <w:t>1983 litigation the relevant breach is the constitutional breach.</w:t>
      </w:r>
      <w:r w:rsidRPr="006A612F">
        <w:rPr>
          <w:rStyle w:val="NoterefInText"/>
        </w:rPr>
        <w:footnoteReference w:id="203"/>
      </w:r>
      <w:r w:rsidR="006A559C" w:rsidRPr="006A612F">
        <w:t xml:space="preserve"> </w:t>
      </w:r>
      <w:r w:rsidRPr="006A612F">
        <w:t>The standard courts will use to determine whether there has been a constitutional breach depends upon what provision the plaintiff alleges the defendant violated.</w:t>
      </w:r>
      <w:r w:rsidRPr="006A612F">
        <w:rPr>
          <w:rStyle w:val="NoterefInText"/>
        </w:rPr>
        <w:footnoteReference w:id="204"/>
      </w:r>
      <w:r w:rsidR="006A559C" w:rsidRPr="006A612F">
        <w:t xml:space="preserve"> </w:t>
      </w:r>
      <w:r w:rsidRPr="006A612F">
        <w:t xml:space="preserve">For example, the Fourth Amendment standard is </w:t>
      </w:r>
      <w:r w:rsidR="00BF278E" w:rsidRPr="006A612F">
        <w:t>“</w:t>
      </w:r>
      <w:r w:rsidRPr="006A612F">
        <w:t>objective reasonableness</w:t>
      </w:r>
      <w:r w:rsidR="00904351" w:rsidRPr="006A612F">
        <w:t>.</w:t>
      </w:r>
      <w:r w:rsidR="00BF278E" w:rsidRPr="006A612F">
        <w:t>”</w:t>
      </w:r>
      <w:r w:rsidRPr="006A612F">
        <w:rPr>
          <w:rStyle w:val="NoterefInText"/>
        </w:rPr>
        <w:footnoteReference w:id="205"/>
      </w:r>
      <w:r w:rsidR="006A559C" w:rsidRPr="006A612F">
        <w:t xml:space="preserve"> </w:t>
      </w:r>
      <w:r w:rsidRPr="006A612F">
        <w:t>In contrast, t</w:t>
      </w:r>
      <w:r w:rsidRPr="006A612F">
        <w:rPr>
          <w:shd w:val="clear" w:color="auto" w:fill="FFFFFF"/>
        </w:rPr>
        <w:t xml:space="preserve">he legal standard required to establish a Fourteenth Amendment substantive due process claim is </w:t>
      </w:r>
      <w:r w:rsidR="00BF278E" w:rsidRPr="006A612F">
        <w:rPr>
          <w:shd w:val="clear" w:color="auto" w:fill="FFFFFF"/>
        </w:rPr>
        <w:t>“</w:t>
      </w:r>
      <w:r w:rsidRPr="006A612F">
        <w:rPr>
          <w:shd w:val="clear" w:color="auto" w:fill="FFFFFF"/>
        </w:rPr>
        <w:t>shocks the conscience</w:t>
      </w:r>
      <w:r w:rsidR="00CD4DDC" w:rsidRPr="006A612F">
        <w:rPr>
          <w:shd w:val="clear" w:color="auto" w:fill="FFFFFF"/>
        </w:rPr>
        <w:t>,</w:t>
      </w:r>
      <w:r w:rsidR="00BF278E" w:rsidRPr="006A612F">
        <w:rPr>
          <w:shd w:val="clear" w:color="auto" w:fill="FFFFFF"/>
        </w:rPr>
        <w:t>”</w:t>
      </w:r>
      <w:r w:rsidR="00277243" w:rsidRPr="006A612F">
        <w:rPr>
          <w:shd w:val="clear" w:color="auto" w:fill="FFFFFF"/>
        </w:rPr>
        <w:t xml:space="preserve"> </w:t>
      </w:r>
      <w:r w:rsidRPr="006A612F">
        <w:rPr>
          <w:shd w:val="clear" w:color="auto" w:fill="FFFFFF"/>
        </w:rPr>
        <w:t xml:space="preserve">and the Court has been clear that </w:t>
      </w:r>
      <w:r w:rsidR="00BF278E" w:rsidRPr="006A612F">
        <w:rPr>
          <w:shd w:val="clear" w:color="auto" w:fill="FFFFFF"/>
        </w:rPr>
        <w:t>“</w:t>
      </w:r>
      <w:r w:rsidRPr="006A612F">
        <w:rPr>
          <w:shd w:val="clear" w:color="auto" w:fill="FFFFFF"/>
        </w:rPr>
        <w:t>negligently inflicted harm is categorically beneath the threshold of constitutional due process.</w:t>
      </w:r>
      <w:r w:rsidR="00BF278E" w:rsidRPr="006A612F">
        <w:rPr>
          <w:shd w:val="clear" w:color="auto" w:fill="FFFFFF"/>
        </w:rPr>
        <w:t>”</w:t>
      </w:r>
      <w:r w:rsidRPr="006A612F">
        <w:rPr>
          <w:rStyle w:val="NoterefInText"/>
        </w:rPr>
        <w:footnoteReference w:id="206"/>
      </w:r>
      <w:r w:rsidR="006A559C" w:rsidRPr="006A612F">
        <w:rPr>
          <w:shd w:val="clear" w:color="auto" w:fill="FFFFFF"/>
        </w:rPr>
        <w:t xml:space="preserve"> </w:t>
      </w:r>
      <w:r w:rsidRPr="006A612F">
        <w:rPr>
          <w:shd w:val="clear" w:color="auto" w:fill="FFFFFF"/>
        </w:rPr>
        <w:t>Both §</w:t>
      </w:r>
      <w:r w:rsidR="006B4655" w:rsidRPr="006A612F">
        <w:rPr>
          <w:shd w:val="clear" w:color="auto" w:fill="FFFFFF"/>
        </w:rPr>
        <w:t> </w:t>
      </w:r>
      <w:r w:rsidRPr="006A612F">
        <w:rPr>
          <w:shd w:val="clear" w:color="auto" w:fill="FFFFFF"/>
        </w:rPr>
        <w:t xml:space="preserve">1983 and negligence </w:t>
      </w:r>
      <w:r w:rsidR="0032282C" w:rsidRPr="006A612F">
        <w:rPr>
          <w:shd w:val="clear" w:color="auto" w:fill="FFFFFF"/>
        </w:rPr>
        <w:t xml:space="preserve">actions </w:t>
      </w:r>
      <w:r w:rsidRPr="006A612F">
        <w:rPr>
          <w:shd w:val="clear" w:color="auto" w:fill="FFFFFF"/>
        </w:rPr>
        <w:t>require a breach, but in tort</w:t>
      </w:r>
      <w:r w:rsidR="007E75AF" w:rsidRPr="006A612F">
        <w:rPr>
          <w:shd w:val="clear" w:color="auto" w:fill="FFFFFF"/>
        </w:rPr>
        <w:t xml:space="preserve"> cases</w:t>
      </w:r>
      <w:r w:rsidR="005E79BE" w:rsidRPr="006A612F">
        <w:rPr>
          <w:shd w:val="clear" w:color="auto" w:fill="FFFFFF"/>
        </w:rPr>
        <w:t>,</w:t>
      </w:r>
      <w:r w:rsidRPr="006A612F">
        <w:rPr>
          <w:shd w:val="clear" w:color="auto" w:fill="FFFFFF"/>
        </w:rPr>
        <w:t xml:space="preserve"> the relevant question is whether the defendant breached a duty</w:t>
      </w:r>
      <w:r w:rsidRPr="006A612F">
        <w:t>,</w:t>
      </w:r>
      <w:r w:rsidRPr="006A612F">
        <w:rPr>
          <w:shd w:val="clear" w:color="auto" w:fill="FFFFFF"/>
        </w:rPr>
        <w:t xml:space="preserve"> while the pertinent </w:t>
      </w:r>
      <w:r w:rsidRPr="006A612F">
        <w:rPr>
          <w:shd w:val="clear" w:color="auto" w:fill="FFFFFF"/>
        </w:rPr>
        <w:lastRenderedPageBreak/>
        <w:t>standard in §</w:t>
      </w:r>
      <w:r w:rsidR="006B4655" w:rsidRPr="006A612F">
        <w:rPr>
          <w:shd w:val="clear" w:color="auto" w:fill="FFFFFF"/>
        </w:rPr>
        <w:t> </w:t>
      </w:r>
      <w:r w:rsidRPr="006A612F">
        <w:rPr>
          <w:shd w:val="clear" w:color="auto" w:fill="FFFFFF"/>
        </w:rPr>
        <w:t xml:space="preserve">1983 </w:t>
      </w:r>
      <w:r w:rsidR="00555A02" w:rsidRPr="006A612F">
        <w:rPr>
          <w:shd w:val="clear" w:color="auto" w:fill="FFFFFF"/>
        </w:rPr>
        <w:t xml:space="preserve">cases </w:t>
      </w:r>
      <w:r w:rsidRPr="006A612F">
        <w:rPr>
          <w:shd w:val="clear" w:color="auto" w:fill="FFFFFF"/>
        </w:rPr>
        <w:t>is whether the defendant breached a constitutional right.</w:t>
      </w:r>
      <w:r w:rsidRPr="006A612F">
        <w:rPr>
          <w:rStyle w:val="NoterefInText"/>
        </w:rPr>
        <w:footnoteReference w:id="207"/>
      </w:r>
      <w:r w:rsidR="006A559C" w:rsidRPr="006A612F">
        <w:rPr>
          <w:shd w:val="clear" w:color="auto" w:fill="FFFFFF"/>
        </w:rPr>
        <w:t xml:space="preserve"> </w:t>
      </w:r>
    </w:p>
    <w:p w14:paraId="1AD4A89A" w14:textId="2A95461E" w:rsidR="00F70B74" w:rsidRPr="006A612F" w:rsidRDefault="00F70B74" w:rsidP="00AA6ED0">
      <w:pPr>
        <w:pStyle w:val="Document"/>
        <w:spacing w:line="240" w:lineRule="auto"/>
        <w:rPr>
          <w:shd w:val="clear" w:color="auto" w:fill="FFFFFF"/>
        </w:rPr>
      </w:pPr>
      <w:r w:rsidRPr="006A612F">
        <w:t>The concepts of duty in tort law and duty in §</w:t>
      </w:r>
      <w:r w:rsidR="008C53FA" w:rsidRPr="006A612F">
        <w:t> </w:t>
      </w:r>
      <w:r w:rsidRPr="006A612F">
        <w:t>1983 jurisprudence are related, but their relationship is a bit convoluted.</w:t>
      </w:r>
      <w:r w:rsidR="006A559C" w:rsidRPr="006A612F">
        <w:t xml:space="preserve"> </w:t>
      </w:r>
      <w:r w:rsidRPr="006A612F">
        <w:t>Arguably, there are a few ways tort concepts of duty arise in §</w:t>
      </w:r>
      <w:r w:rsidR="008C53FA" w:rsidRPr="006A612F">
        <w:t> </w:t>
      </w:r>
      <w:r w:rsidRPr="006A612F">
        <w:t xml:space="preserve">1983 jurisprudence. The Supreme Court </w:t>
      </w:r>
      <w:r w:rsidR="002629F1" w:rsidRPr="006A612F">
        <w:t xml:space="preserve">has </w:t>
      </w:r>
      <w:r w:rsidRPr="006A612F">
        <w:t xml:space="preserve">explicitly </w:t>
      </w:r>
      <w:r w:rsidR="00D46841" w:rsidRPr="006A612F">
        <w:t>used</w:t>
      </w:r>
      <w:r w:rsidR="00F74E36" w:rsidRPr="006A612F">
        <w:t xml:space="preserve"> </w:t>
      </w:r>
      <w:r w:rsidRPr="006A612F">
        <w:t xml:space="preserve">concepts of affirmative duty </w:t>
      </w:r>
      <w:r w:rsidR="00EA3CFC" w:rsidRPr="006A612F">
        <w:t xml:space="preserve">from </w:t>
      </w:r>
      <w:r w:rsidRPr="006A612F">
        <w:t>tort</w:t>
      </w:r>
      <w:r w:rsidR="00EA3CFC" w:rsidRPr="006A612F">
        <w:t xml:space="preserve"> </w:t>
      </w:r>
      <w:r w:rsidR="00D46841" w:rsidRPr="006A612F">
        <w:t>law</w:t>
      </w:r>
      <w:r w:rsidR="00BF278E" w:rsidRPr="006A612F">
        <w:t>’</w:t>
      </w:r>
      <w:r w:rsidRPr="006A612F">
        <w:t xml:space="preserve">s duty element in Fourteenth Amendment </w:t>
      </w:r>
      <w:r w:rsidR="00F51EB7" w:rsidRPr="006A612F">
        <w:t>s</w:t>
      </w:r>
      <w:r w:rsidRPr="006A612F">
        <w:t xml:space="preserve">ubstantive </w:t>
      </w:r>
      <w:r w:rsidR="00F51EB7" w:rsidRPr="006A612F">
        <w:t>d</w:t>
      </w:r>
      <w:r w:rsidRPr="006A612F">
        <w:t xml:space="preserve">ue </w:t>
      </w:r>
      <w:r w:rsidR="00F51EB7" w:rsidRPr="006A612F">
        <w:t>p</w:t>
      </w:r>
      <w:r w:rsidRPr="006A612F">
        <w:t>rocess cases.</w:t>
      </w:r>
      <w:r w:rsidRPr="006A612F">
        <w:rPr>
          <w:rStyle w:val="NoterefInText"/>
        </w:rPr>
        <w:footnoteReference w:id="208"/>
      </w:r>
      <w:r w:rsidR="006A559C" w:rsidRPr="006A612F">
        <w:t xml:space="preserve"> </w:t>
      </w:r>
      <w:r w:rsidRPr="006A612F">
        <w:t xml:space="preserve">Furthermore, as discussed in </w:t>
      </w:r>
      <w:r w:rsidR="000B73A6" w:rsidRPr="006A612F">
        <w:t>subpart</w:t>
      </w:r>
      <w:r w:rsidRPr="006A612F">
        <w:t xml:space="preserve"> II</w:t>
      </w:r>
      <w:r w:rsidR="000B73A6" w:rsidRPr="006A612F">
        <w:t>(</w:t>
      </w:r>
      <w:r w:rsidRPr="006A612F">
        <w:t>B</w:t>
      </w:r>
      <w:r w:rsidR="000B73A6" w:rsidRPr="006A612F">
        <w:t>),</w:t>
      </w:r>
      <w:r w:rsidR="006A559C" w:rsidRPr="006A612F">
        <w:t xml:space="preserve"> </w:t>
      </w:r>
      <w:r w:rsidRPr="006A612F">
        <w:t xml:space="preserve">most circuit courts have held that a police official may be liable for failing to prevent another officer from violating the </w:t>
      </w:r>
      <w:r w:rsidR="00870D18" w:rsidRPr="006A612F">
        <w:t>C</w:t>
      </w:r>
      <w:r w:rsidRPr="006A612F">
        <w:t>onstitution.</w:t>
      </w:r>
      <w:r w:rsidR="006A559C" w:rsidRPr="006A612F">
        <w:t xml:space="preserve"> </w:t>
      </w:r>
      <w:r w:rsidRPr="006A612F">
        <w:t>In these circumstances, some circuits have</w:t>
      </w:r>
      <w:r w:rsidR="005A33E8" w:rsidRPr="006A612F">
        <w:t xml:space="preserve"> explicitly</w:t>
      </w:r>
      <w:r w:rsidRPr="006A612F">
        <w:t xml:space="preserve"> tied liability to duty. For example, the Fourth Circuit has explained, </w:t>
      </w:r>
      <w:r w:rsidR="00BF278E" w:rsidRPr="006A612F">
        <w:t>“</w:t>
      </w:r>
      <w:r w:rsidRPr="006A612F">
        <w:t>[t]</w:t>
      </w:r>
      <w:r w:rsidRPr="006A612F">
        <w:rPr>
          <w:shd w:val="clear" w:color="auto" w:fill="FFFFFF"/>
        </w:rPr>
        <w:t>he concept of bystander liability is premised on a law officer</w:t>
      </w:r>
      <w:r w:rsidR="00BF278E" w:rsidRPr="006A612F">
        <w:rPr>
          <w:shd w:val="clear" w:color="auto" w:fill="FFFFFF"/>
        </w:rPr>
        <w:t>’</w:t>
      </w:r>
      <w:r w:rsidRPr="006A612F">
        <w:rPr>
          <w:shd w:val="clear" w:color="auto" w:fill="FFFFFF"/>
        </w:rPr>
        <w:t>s duty to uphold the law and protect the public from illegal acts, regardless of who commits them.</w:t>
      </w:r>
      <w:r w:rsidR="00BF278E" w:rsidRPr="006A612F">
        <w:rPr>
          <w:shd w:val="clear" w:color="auto" w:fill="FFFFFF"/>
        </w:rPr>
        <w:t>”</w:t>
      </w:r>
      <w:r w:rsidRPr="006A612F">
        <w:rPr>
          <w:rStyle w:val="NoterefInText"/>
        </w:rPr>
        <w:footnoteReference w:id="209"/>
      </w:r>
      <w:r w:rsidRPr="006A612F">
        <w:rPr>
          <w:shd w:val="clear" w:color="auto" w:fill="FFFFFF"/>
        </w:rPr>
        <w:t xml:space="preserve"> One might </w:t>
      </w:r>
      <w:r w:rsidR="00EC7806" w:rsidRPr="006A612F">
        <w:rPr>
          <w:shd w:val="clear" w:color="auto" w:fill="FFFFFF"/>
        </w:rPr>
        <w:t xml:space="preserve">also </w:t>
      </w:r>
      <w:r w:rsidRPr="006A612F">
        <w:rPr>
          <w:shd w:val="clear" w:color="auto" w:fill="FFFFFF"/>
        </w:rPr>
        <w:t xml:space="preserve">understand </w:t>
      </w:r>
      <w:r w:rsidR="00BF278E" w:rsidRPr="006A612F">
        <w:rPr>
          <w:shd w:val="clear" w:color="auto" w:fill="FFFFFF"/>
        </w:rPr>
        <w:t>“</w:t>
      </w:r>
      <w:r w:rsidRPr="006A612F">
        <w:rPr>
          <w:shd w:val="clear" w:color="auto" w:fill="FFFFFF"/>
        </w:rPr>
        <w:t>acting under color of law</w:t>
      </w:r>
      <w:r w:rsidR="00BF278E" w:rsidRPr="006A612F">
        <w:rPr>
          <w:shd w:val="clear" w:color="auto" w:fill="FFFFFF"/>
        </w:rPr>
        <w:t>”</w:t>
      </w:r>
      <w:r w:rsidRPr="006A612F">
        <w:rPr>
          <w:shd w:val="clear" w:color="auto" w:fill="FFFFFF"/>
        </w:rPr>
        <w:t xml:space="preserve"> as imposing a duty not to violate the laws</w:t>
      </w:r>
      <w:r w:rsidR="003068DD" w:rsidRPr="006A612F">
        <w:rPr>
          <w:shd w:val="clear" w:color="auto" w:fill="FFFFFF"/>
        </w:rPr>
        <w:t>—</w:t>
      </w:r>
      <w:r w:rsidRPr="006A612F">
        <w:rPr>
          <w:shd w:val="clear" w:color="auto" w:fill="FFFFFF"/>
        </w:rPr>
        <w:t xml:space="preserve">in much the same way </w:t>
      </w:r>
      <w:r w:rsidR="003068DD" w:rsidRPr="006A612F">
        <w:rPr>
          <w:shd w:val="clear" w:color="auto" w:fill="FFFFFF"/>
        </w:rPr>
        <w:t xml:space="preserve">that </w:t>
      </w:r>
      <w:r w:rsidRPr="006A612F">
        <w:rPr>
          <w:shd w:val="clear" w:color="auto" w:fill="FFFFFF"/>
        </w:rPr>
        <w:t>tort law imposes a general duty of care.</w:t>
      </w:r>
      <w:r w:rsidRPr="006A612F">
        <w:rPr>
          <w:rStyle w:val="NoterefInText"/>
        </w:rPr>
        <w:footnoteReference w:id="210"/>
      </w:r>
      <w:r w:rsidR="006A559C" w:rsidRPr="006A612F">
        <w:rPr>
          <w:shd w:val="clear" w:color="auto" w:fill="FFFFFF"/>
        </w:rPr>
        <w:t xml:space="preserve"> </w:t>
      </w:r>
      <w:r w:rsidRPr="006A612F">
        <w:rPr>
          <w:shd w:val="clear" w:color="auto" w:fill="FFFFFF"/>
        </w:rPr>
        <w:t xml:space="preserve">Alternatively, one might see </w:t>
      </w:r>
      <w:r w:rsidR="00BF278E" w:rsidRPr="006A612F">
        <w:rPr>
          <w:shd w:val="clear" w:color="auto" w:fill="FFFFFF"/>
        </w:rPr>
        <w:t>“</w:t>
      </w:r>
      <w:r w:rsidRPr="006A612F">
        <w:rPr>
          <w:shd w:val="clear" w:color="auto" w:fill="FFFFFF"/>
        </w:rPr>
        <w:t>acting under color of law</w:t>
      </w:r>
      <w:r w:rsidR="00BF278E" w:rsidRPr="006A612F">
        <w:rPr>
          <w:shd w:val="clear" w:color="auto" w:fill="FFFFFF"/>
        </w:rPr>
        <w:t>”</w:t>
      </w:r>
      <w:r w:rsidRPr="006A612F">
        <w:rPr>
          <w:shd w:val="clear" w:color="auto" w:fill="FFFFFF"/>
        </w:rPr>
        <w:t xml:space="preserve"> as creating a special relationship between government officials and the communities for whom they work.</w:t>
      </w:r>
      <w:r w:rsidR="006A559C" w:rsidRPr="006A612F">
        <w:rPr>
          <w:shd w:val="clear" w:color="auto" w:fill="FFFFFF"/>
        </w:rPr>
        <w:t xml:space="preserve"> </w:t>
      </w:r>
      <w:r w:rsidRPr="006A612F">
        <w:rPr>
          <w:shd w:val="clear" w:color="auto" w:fill="FFFFFF"/>
        </w:rPr>
        <w:t>Tort law, generally, has recognized duty based upon special relationships.</w:t>
      </w:r>
      <w:r w:rsidRPr="006A612F">
        <w:rPr>
          <w:rStyle w:val="NoterefInText"/>
        </w:rPr>
        <w:footnoteReference w:id="211"/>
      </w:r>
      <w:r w:rsidR="006A559C" w:rsidRPr="006A612F">
        <w:rPr>
          <w:shd w:val="clear" w:color="auto" w:fill="FFFFFF"/>
        </w:rPr>
        <w:t xml:space="preserve"> </w:t>
      </w:r>
      <w:r w:rsidRPr="006A612F">
        <w:rPr>
          <w:shd w:val="clear" w:color="auto" w:fill="FFFFFF"/>
        </w:rPr>
        <w:t xml:space="preserve">Thus, imagining duty concepts in § 1983 </w:t>
      </w:r>
      <w:r w:rsidR="00BF0512" w:rsidRPr="006A612F">
        <w:rPr>
          <w:shd w:val="clear" w:color="auto" w:fill="FFFFFF"/>
        </w:rPr>
        <w:t xml:space="preserve">claims </w:t>
      </w:r>
      <w:r w:rsidRPr="006A612F">
        <w:rPr>
          <w:shd w:val="clear" w:color="auto" w:fill="FFFFFF"/>
        </w:rPr>
        <w:t>in this way is not inconsistent with tort law, albeit the relationship is more general in nature.</w:t>
      </w:r>
    </w:p>
    <w:p w14:paraId="6B54DA22" w14:textId="6C3F35C9" w:rsidR="00F70B74" w:rsidRPr="006A612F" w:rsidRDefault="00F70B74" w:rsidP="00AA6ED0">
      <w:pPr>
        <w:pStyle w:val="Document"/>
        <w:spacing w:line="240" w:lineRule="auto"/>
        <w:rPr>
          <w:shd w:val="clear" w:color="auto" w:fill="FFFFFF"/>
        </w:rPr>
      </w:pPr>
      <w:r w:rsidRPr="006A612F">
        <w:rPr>
          <w:shd w:val="clear" w:color="auto" w:fill="FFFFFF"/>
        </w:rPr>
        <w:lastRenderedPageBreak/>
        <w:t>Because there are differences between tort law and constitutional tort law, courts should not impose tort concepts onto §</w:t>
      </w:r>
      <w:r w:rsidR="000B1D04" w:rsidRPr="006A612F">
        <w:rPr>
          <w:shd w:val="clear" w:color="auto" w:fill="FFFFFF"/>
        </w:rPr>
        <w:t> </w:t>
      </w:r>
      <w:r w:rsidRPr="006A612F">
        <w:rPr>
          <w:shd w:val="clear" w:color="auto" w:fill="FFFFFF"/>
        </w:rPr>
        <w:t>1983 litigation carte blanche.</w:t>
      </w:r>
      <w:r w:rsidR="006A559C" w:rsidRPr="006A612F">
        <w:rPr>
          <w:shd w:val="clear" w:color="auto" w:fill="FFFFFF"/>
        </w:rPr>
        <w:t xml:space="preserve"> </w:t>
      </w:r>
      <w:r w:rsidRPr="006A612F">
        <w:rPr>
          <w:shd w:val="clear" w:color="auto" w:fill="FFFFFF"/>
        </w:rPr>
        <w:t>Nevertheless, given their similarities, it is appropriate for courts adjudicating §</w:t>
      </w:r>
      <w:r w:rsidR="000B1D04" w:rsidRPr="006A612F">
        <w:rPr>
          <w:shd w:val="clear" w:color="auto" w:fill="FFFFFF"/>
        </w:rPr>
        <w:t> </w:t>
      </w:r>
      <w:r w:rsidRPr="006A612F">
        <w:rPr>
          <w:shd w:val="clear" w:color="auto" w:fill="FFFFFF"/>
        </w:rPr>
        <w:t>1983 cases to import some concepts from common law torts.</w:t>
      </w:r>
      <w:r w:rsidR="006A559C" w:rsidRPr="006A612F">
        <w:rPr>
          <w:shd w:val="clear" w:color="auto" w:fill="FFFFFF"/>
        </w:rPr>
        <w:t xml:space="preserve"> </w:t>
      </w:r>
      <w:r w:rsidRPr="006A612F">
        <w:rPr>
          <w:shd w:val="clear" w:color="auto" w:fill="FFFFFF"/>
        </w:rPr>
        <w:t>As noted at the outset, in many §</w:t>
      </w:r>
      <w:r w:rsidR="000B1D04" w:rsidRPr="006A612F">
        <w:rPr>
          <w:shd w:val="clear" w:color="auto" w:fill="FFFFFF"/>
        </w:rPr>
        <w:t> </w:t>
      </w:r>
      <w:r w:rsidRPr="006A612F">
        <w:rPr>
          <w:shd w:val="clear" w:color="auto" w:fill="FFFFFF"/>
        </w:rPr>
        <w:t xml:space="preserve">1983 cases in which </w:t>
      </w:r>
      <w:r w:rsidR="00BF278E" w:rsidRPr="006A612F">
        <w:rPr>
          <w:shd w:val="clear" w:color="auto" w:fill="FFFFFF"/>
        </w:rPr>
        <w:t>“</w:t>
      </w:r>
      <w:r w:rsidRPr="006A612F">
        <w:rPr>
          <w:shd w:val="clear" w:color="auto" w:fill="FFFFFF"/>
        </w:rPr>
        <w:t>individual responsibility</w:t>
      </w:r>
      <w:r w:rsidR="00BF278E" w:rsidRPr="006A612F">
        <w:rPr>
          <w:shd w:val="clear" w:color="auto" w:fill="FFFFFF"/>
        </w:rPr>
        <w:t>”</w:t>
      </w:r>
      <w:r w:rsidRPr="006A612F">
        <w:rPr>
          <w:shd w:val="clear" w:color="auto" w:fill="FFFFFF"/>
        </w:rPr>
        <w:t xml:space="preserve"> emerges as an issue, the question is not </w:t>
      </w:r>
      <w:r w:rsidRPr="006A612F">
        <w:rPr>
          <w:i/>
          <w:iCs/>
          <w:shd w:val="clear" w:color="auto" w:fill="FFFFFF"/>
        </w:rPr>
        <w:t xml:space="preserve">whether </w:t>
      </w:r>
      <w:r w:rsidRPr="006A612F">
        <w:rPr>
          <w:shd w:val="clear" w:color="auto" w:fill="FFFFFF"/>
        </w:rPr>
        <w:t>there was a constitutional violation.</w:t>
      </w:r>
      <w:r w:rsidR="006A559C" w:rsidRPr="006A612F">
        <w:rPr>
          <w:shd w:val="clear" w:color="auto" w:fill="FFFFFF"/>
        </w:rPr>
        <w:t xml:space="preserve"> </w:t>
      </w:r>
      <w:r w:rsidRPr="006A612F">
        <w:rPr>
          <w:shd w:val="clear" w:color="auto" w:fill="FFFFFF"/>
        </w:rPr>
        <w:t xml:space="preserve">Rather, the issue is whether a particular defendant </w:t>
      </w:r>
      <w:r w:rsidRPr="006A612F">
        <w:rPr>
          <w:i/>
          <w:iCs/>
          <w:shd w:val="clear" w:color="auto" w:fill="FFFFFF"/>
        </w:rPr>
        <w:t>caused</w:t>
      </w:r>
      <w:r w:rsidRPr="006A612F">
        <w:rPr>
          <w:shd w:val="clear" w:color="auto" w:fill="FFFFFF"/>
        </w:rPr>
        <w:t xml:space="preserve"> the constitutional violation.</w:t>
      </w:r>
      <w:r w:rsidR="006A559C" w:rsidRPr="006A612F">
        <w:rPr>
          <w:shd w:val="clear" w:color="auto" w:fill="FFFFFF"/>
        </w:rPr>
        <w:t xml:space="preserve"> </w:t>
      </w:r>
      <w:r w:rsidRPr="006A612F">
        <w:rPr>
          <w:shd w:val="clear" w:color="auto" w:fill="FFFFFF"/>
        </w:rPr>
        <w:t>As noted in Part I, when plaintiffs survive pleading and make it to discovery</w:t>
      </w:r>
      <w:r w:rsidR="00F06DB9" w:rsidRPr="006A612F">
        <w:rPr>
          <w:shd w:val="clear" w:color="auto" w:fill="FFFFFF"/>
        </w:rPr>
        <w:t>,</w:t>
      </w:r>
      <w:r w:rsidRPr="006A612F">
        <w:rPr>
          <w:shd w:val="clear" w:color="auto" w:fill="FFFFFF"/>
        </w:rPr>
        <w:t xml:space="preserve"> they often learn who was at the scene.</w:t>
      </w:r>
      <w:r w:rsidR="006A559C" w:rsidRPr="006A612F">
        <w:rPr>
          <w:shd w:val="clear" w:color="auto" w:fill="FFFFFF"/>
        </w:rPr>
        <w:t xml:space="preserve"> </w:t>
      </w:r>
      <w:r w:rsidRPr="006A612F">
        <w:rPr>
          <w:shd w:val="clear" w:color="auto" w:fill="FFFFFF"/>
        </w:rPr>
        <w:t xml:space="preserve">Yet, absent video documentation or officer testimony, they still will not be able to prove who did what and </w:t>
      </w:r>
      <w:r w:rsidR="008B5498" w:rsidRPr="006A612F">
        <w:rPr>
          <w:shd w:val="clear" w:color="auto" w:fill="FFFFFF"/>
        </w:rPr>
        <w:t>so</w:t>
      </w:r>
      <w:r w:rsidRPr="006A612F">
        <w:rPr>
          <w:shd w:val="clear" w:color="auto" w:fill="FFFFFF"/>
        </w:rPr>
        <w:t xml:space="preserve"> will lose</w:t>
      </w:r>
      <w:r w:rsidR="00904351" w:rsidRPr="006A612F">
        <w:rPr>
          <w:shd w:val="clear" w:color="auto" w:fill="FFFFFF"/>
        </w:rPr>
        <w:t xml:space="preserve">, since </w:t>
      </w:r>
      <w:r w:rsidRPr="006A612F">
        <w:rPr>
          <w:shd w:val="clear" w:color="auto" w:fill="FFFFFF"/>
        </w:rPr>
        <w:t>§ 1983 plaintiffs must prove that each defendant was personally responsible for the injury.</w:t>
      </w:r>
      <w:r w:rsidR="006A559C" w:rsidRPr="006A612F">
        <w:rPr>
          <w:shd w:val="clear" w:color="auto" w:fill="FFFFFF"/>
        </w:rPr>
        <w:t xml:space="preserve"> </w:t>
      </w:r>
      <w:r w:rsidRPr="006A612F">
        <w:rPr>
          <w:shd w:val="clear" w:color="auto" w:fill="FFFFFF"/>
        </w:rPr>
        <w:t>This is essential for liability.</w:t>
      </w:r>
      <w:r w:rsidR="006A559C" w:rsidRPr="006A612F">
        <w:rPr>
          <w:shd w:val="clear" w:color="auto" w:fill="FFFFFF"/>
        </w:rPr>
        <w:t xml:space="preserve"> </w:t>
      </w:r>
    </w:p>
    <w:p w14:paraId="3141416A" w14:textId="0758A722" w:rsidR="00F70B74" w:rsidRPr="006A612F" w:rsidRDefault="00F70B74" w:rsidP="00AA6ED0">
      <w:pPr>
        <w:pStyle w:val="Document"/>
        <w:spacing w:line="240" w:lineRule="auto"/>
        <w:rPr>
          <w:shd w:val="clear" w:color="auto" w:fill="FFFFFF"/>
        </w:rPr>
      </w:pPr>
      <w:r w:rsidRPr="006A612F">
        <w:rPr>
          <w:shd w:val="clear" w:color="auto" w:fill="FFFFFF"/>
        </w:rPr>
        <w:t>Courts might solve this evidentiary problem by expanding liability.</w:t>
      </w:r>
      <w:r w:rsidR="006A559C" w:rsidRPr="006A612F">
        <w:rPr>
          <w:shd w:val="clear" w:color="auto" w:fill="FFFFFF"/>
        </w:rPr>
        <w:t xml:space="preserve"> </w:t>
      </w:r>
      <w:r w:rsidRPr="006A612F">
        <w:rPr>
          <w:shd w:val="clear" w:color="auto" w:fill="FFFFFF"/>
        </w:rPr>
        <w:t>Courts could hold that municipalities are vicariously liable for the acts of their employees. This approach would require a complete overhaul of the</w:t>
      </w:r>
      <w:r w:rsidRPr="006A612F">
        <w:t xml:space="preserve"> current </w:t>
      </w:r>
      <w:r w:rsidRPr="006A612F">
        <w:rPr>
          <w:shd w:val="clear" w:color="auto" w:fill="FFFFFF"/>
        </w:rPr>
        <w:t>doctrine.</w:t>
      </w:r>
      <w:r w:rsidR="006A559C" w:rsidRPr="006A612F">
        <w:rPr>
          <w:shd w:val="clear" w:color="auto" w:fill="FFFFFF"/>
        </w:rPr>
        <w:t xml:space="preserve"> </w:t>
      </w:r>
      <w:r w:rsidRPr="006A612F">
        <w:rPr>
          <w:shd w:val="clear" w:color="auto" w:fill="FFFFFF"/>
        </w:rPr>
        <w:t xml:space="preserve">The Court has explicitly and </w:t>
      </w:r>
      <w:r w:rsidR="00BF278E" w:rsidRPr="006A612F">
        <w:rPr>
          <w:shd w:val="clear" w:color="auto" w:fill="FFFFFF"/>
        </w:rPr>
        <w:t>“</w:t>
      </w:r>
      <w:r w:rsidRPr="006A612F">
        <w:rPr>
          <w:shd w:val="clear" w:color="auto" w:fill="FFFFFF"/>
        </w:rPr>
        <w:t>consistently refused to hold </w:t>
      </w:r>
      <w:r w:rsidRPr="006A612F">
        <w:rPr>
          <w:bdr w:val="none" w:sz="0" w:space="0" w:color="auto" w:frame="1"/>
          <w:shd w:val="clear" w:color="auto" w:fill="FFFFFF"/>
        </w:rPr>
        <w:t>municipalities </w:t>
      </w:r>
      <w:r w:rsidRPr="006A612F">
        <w:rPr>
          <w:shd w:val="clear" w:color="auto" w:fill="FFFFFF"/>
        </w:rPr>
        <w:t>liable under a theory of </w:t>
      </w:r>
      <w:r w:rsidRPr="006A612F">
        <w:rPr>
          <w:i/>
          <w:iCs/>
          <w:bdr w:val="none" w:sz="0" w:space="0" w:color="auto" w:frame="1"/>
          <w:shd w:val="clear" w:color="auto" w:fill="FFFFFF"/>
        </w:rPr>
        <w:t>respondeat</w:t>
      </w:r>
      <w:r w:rsidRPr="006A612F">
        <w:rPr>
          <w:i/>
          <w:iCs/>
          <w:bdr w:val="none" w:sz="0" w:space="0" w:color="auto" w:frame="1"/>
        </w:rPr>
        <w:t> </w:t>
      </w:r>
      <w:r w:rsidRPr="006A612F">
        <w:rPr>
          <w:i/>
          <w:iCs/>
          <w:bdr w:val="none" w:sz="0" w:space="0" w:color="auto" w:frame="1"/>
          <w:shd w:val="clear" w:color="auto" w:fill="FFFFFF"/>
        </w:rPr>
        <w:t>superior</w:t>
      </w:r>
      <w:r w:rsidRPr="006A612F">
        <w:rPr>
          <w:i/>
          <w:iCs/>
          <w:bdr w:val="none" w:sz="0" w:space="0" w:color="auto" w:frame="1"/>
        </w:rPr>
        <w:t>.</w:t>
      </w:r>
      <w:r w:rsidR="00BF278E" w:rsidRPr="006A612F">
        <w:rPr>
          <w:bdr w:val="none" w:sz="0" w:space="0" w:color="auto" w:frame="1"/>
        </w:rPr>
        <w:t>”</w:t>
      </w:r>
      <w:r w:rsidRPr="006A612F">
        <w:rPr>
          <w:rStyle w:val="NoterefInText"/>
        </w:rPr>
        <w:footnoteReference w:id="212"/>
      </w:r>
      <w:r w:rsidR="006A559C" w:rsidRPr="006A612F">
        <w:rPr>
          <w:shd w:val="clear" w:color="auto" w:fill="FFFFFF"/>
        </w:rPr>
        <w:t xml:space="preserve"> </w:t>
      </w:r>
      <w:r w:rsidRPr="006A612F">
        <w:rPr>
          <w:shd w:val="clear" w:color="auto" w:fill="FFFFFF"/>
        </w:rPr>
        <w:t xml:space="preserve"> </w:t>
      </w:r>
    </w:p>
    <w:p w14:paraId="2F774B1D" w14:textId="50FD471B" w:rsidR="00F70B74" w:rsidRPr="006A612F" w:rsidRDefault="00F70B74" w:rsidP="00AA6ED0">
      <w:pPr>
        <w:pStyle w:val="Document"/>
        <w:spacing w:line="240" w:lineRule="auto"/>
      </w:pPr>
      <w:r w:rsidRPr="006A612F">
        <w:rPr>
          <w:shd w:val="clear" w:color="auto" w:fill="FFFFFF"/>
        </w:rPr>
        <w:t>I offer a more restrained solution.</w:t>
      </w:r>
      <w:r w:rsidR="006A559C" w:rsidRPr="006A612F">
        <w:rPr>
          <w:shd w:val="clear" w:color="auto" w:fill="FFFFFF"/>
        </w:rPr>
        <w:t xml:space="preserve"> </w:t>
      </w:r>
      <w:r w:rsidRPr="006A612F">
        <w:rPr>
          <w:shd w:val="clear" w:color="auto" w:fill="FFFFFF"/>
        </w:rPr>
        <w:t xml:space="preserve">I propose borrowing from tort principles to allow for </w:t>
      </w:r>
      <w:r w:rsidRPr="006A612F">
        <w:rPr>
          <w:i/>
          <w:iCs/>
        </w:rPr>
        <w:t>causa per se</w:t>
      </w:r>
      <w:r w:rsidRPr="006A612F">
        <w:t xml:space="preserve">, which translates to </w:t>
      </w:r>
      <w:r w:rsidR="00BF278E" w:rsidRPr="006A612F">
        <w:t>“</w:t>
      </w:r>
      <w:r w:rsidRPr="006A612F">
        <w:t>cause in itself</w:t>
      </w:r>
      <w:r w:rsidR="000D2202" w:rsidRPr="006A612F">
        <w:t>.</w:t>
      </w:r>
      <w:r w:rsidR="00BF278E" w:rsidRPr="006A612F">
        <w:t>”</w:t>
      </w:r>
      <w:r w:rsidR="006A559C" w:rsidRPr="006A612F">
        <w:t xml:space="preserve"> </w:t>
      </w:r>
      <w:r w:rsidRPr="006A612F">
        <w:t xml:space="preserve">Under this theory, a plaintiff bringing a § 1983 claim alleging excessive force makes a prima facie case for causation when </w:t>
      </w:r>
      <w:r w:rsidR="001F1CDB" w:rsidRPr="006A612F">
        <w:t>the plaintiff</w:t>
      </w:r>
      <w:r w:rsidRPr="006A612F">
        <w:t xml:space="preserve"> establishes: (1) a Fourth Amendment deprivation</w:t>
      </w:r>
      <w:r w:rsidR="00896A15" w:rsidRPr="006A612F">
        <w:t xml:space="preserve"> and</w:t>
      </w:r>
      <w:r w:rsidRPr="006A612F">
        <w:t xml:space="preserve"> (2) that the defendant was present when it occurred. This then shifts the burden to the defendant to produce evidence that he or she did not cause the constitutional violation.</w:t>
      </w:r>
      <w:r w:rsidR="006A559C" w:rsidRPr="006A612F">
        <w:t xml:space="preserve"> </w:t>
      </w:r>
      <w:r w:rsidRPr="006A612F">
        <w:t>If the police official does not produce exculpatory evidence</w:t>
      </w:r>
      <w:r w:rsidR="00661598" w:rsidRPr="006A612F">
        <w:t>,</w:t>
      </w:r>
      <w:r w:rsidRPr="006A612F">
        <w:t xml:space="preserve"> </w:t>
      </w:r>
      <w:r w:rsidR="003800BF" w:rsidRPr="006A612F">
        <w:t>that official</w:t>
      </w:r>
      <w:r w:rsidRPr="006A612F">
        <w:t xml:space="preserve"> would be jointly liable with the other officers on the scene.</w:t>
      </w:r>
      <w:r w:rsidR="006A559C" w:rsidRPr="006A612F">
        <w:t xml:space="preserve"> </w:t>
      </w:r>
      <w:r w:rsidRPr="006A612F">
        <w:t xml:space="preserve">Combining theories of res ipsa loquitur and joint liability in this way </w:t>
      </w:r>
      <w:r w:rsidR="00047807" w:rsidRPr="006A612F">
        <w:t xml:space="preserve">would create </w:t>
      </w:r>
      <w:r w:rsidRPr="006A612F">
        <w:t>a powerful incentive for defendants to come forward with information about causation.</w:t>
      </w:r>
      <w:r w:rsidRPr="006A612F">
        <w:rPr>
          <w:rStyle w:val="NoterefInText"/>
        </w:rPr>
        <w:footnoteReference w:id="213"/>
      </w:r>
      <w:r w:rsidR="006A559C" w:rsidRPr="006A612F">
        <w:t xml:space="preserve"> </w:t>
      </w:r>
      <w:r w:rsidRPr="006A612F">
        <w:t xml:space="preserve">The remainder of this section explores these various concepts and the </w:t>
      </w:r>
      <w:r w:rsidRPr="006A612F">
        <w:rPr>
          <w:i/>
          <w:iCs/>
        </w:rPr>
        <w:t>causa per se</w:t>
      </w:r>
      <w:r w:rsidRPr="006A612F">
        <w:t xml:space="preserve"> proposal in detail.</w:t>
      </w:r>
      <w:r w:rsidR="006A559C" w:rsidRPr="006A612F">
        <w:t xml:space="preserve"> </w:t>
      </w:r>
    </w:p>
    <w:p w14:paraId="0E895594" w14:textId="3CF83800" w:rsidR="00F70B74" w:rsidRPr="006A612F" w:rsidRDefault="00F70B74" w:rsidP="00AA6ED0">
      <w:pPr>
        <w:pStyle w:val="SubHead2"/>
        <w:spacing w:line="240" w:lineRule="auto"/>
      </w:pPr>
      <w:r w:rsidRPr="006A612F">
        <w:t>B.</w:t>
      </w:r>
      <w:r w:rsidR="00166D0D" w:rsidRPr="006A612F">
        <w:tab/>
      </w:r>
      <w:r w:rsidRPr="006A612F">
        <w:t xml:space="preserve">Joint Torts </w:t>
      </w:r>
      <w:r w:rsidR="00904351" w:rsidRPr="006A612F">
        <w:t>and</w:t>
      </w:r>
      <w:r w:rsidRPr="006A612F">
        <w:t xml:space="preserve"> Joint and Several Liability</w:t>
      </w:r>
    </w:p>
    <w:p w14:paraId="45A4D187" w14:textId="75A88DAF" w:rsidR="00F70B74" w:rsidRPr="006A612F" w:rsidRDefault="00F70B74" w:rsidP="00AA6ED0">
      <w:pPr>
        <w:pStyle w:val="Document"/>
        <w:spacing w:line="240" w:lineRule="auto"/>
      </w:pPr>
      <w:r w:rsidRPr="006A612F">
        <w:t>Joint and several liability is a longstanding doctrine.</w:t>
      </w:r>
      <w:r w:rsidR="006A559C" w:rsidRPr="006A612F">
        <w:t xml:space="preserve"> </w:t>
      </w:r>
      <w:r w:rsidRPr="006A612F">
        <w:t xml:space="preserve">Broadly speaking, courts have applied the principle, which addresses both questions of causation and allocation of damages, </w:t>
      </w:r>
      <w:r w:rsidR="00782425" w:rsidRPr="006A612F">
        <w:t>in two different circumstances</w:t>
      </w:r>
      <w:r w:rsidRPr="006A612F">
        <w:t>.</w:t>
      </w:r>
      <w:r w:rsidR="006A559C" w:rsidRPr="006A612F">
        <w:t xml:space="preserve"> </w:t>
      </w:r>
      <w:r w:rsidRPr="006A612F">
        <w:t xml:space="preserve">They have applied it when an employer is vicariously liable for the acts of its </w:t>
      </w:r>
      <w:r w:rsidRPr="006A612F">
        <w:lastRenderedPageBreak/>
        <w:t>employees and in cases where the defendants are tortfeasors engaged in a common enterprise.</w:t>
      </w:r>
      <w:r w:rsidRPr="006A612F">
        <w:rPr>
          <w:rStyle w:val="NoterefInText"/>
        </w:rPr>
        <w:footnoteReference w:id="214"/>
      </w:r>
    </w:p>
    <w:p w14:paraId="5F06FBD0" w14:textId="258FA151" w:rsidR="00F70B74" w:rsidRPr="006A612F" w:rsidRDefault="00F70B74" w:rsidP="00AA6ED0">
      <w:pPr>
        <w:pStyle w:val="Document"/>
        <w:spacing w:line="240" w:lineRule="auto"/>
      </w:pPr>
      <w:r w:rsidRPr="006A612F">
        <w:t xml:space="preserve">Initially, joint liability was a narrow doctrine. </w:t>
      </w:r>
      <w:r w:rsidR="00BF278E" w:rsidRPr="006A612F">
        <w:rPr>
          <w:shd w:val="clear" w:color="auto" w:fill="FFFFFF"/>
        </w:rPr>
        <w:t>“</w:t>
      </w:r>
      <w:r w:rsidRPr="006A612F">
        <w:rPr>
          <w:shd w:val="clear" w:color="auto" w:fill="FFFFFF"/>
        </w:rPr>
        <w:t xml:space="preserve">The original meaning of a </w:t>
      </w:r>
      <w:r w:rsidR="00BF278E" w:rsidRPr="006A612F">
        <w:rPr>
          <w:shd w:val="clear" w:color="auto" w:fill="FFFFFF"/>
        </w:rPr>
        <w:t>‘</w:t>
      </w:r>
      <w:r w:rsidRPr="006A612F">
        <w:rPr>
          <w:shd w:val="clear" w:color="auto" w:fill="FFFFFF"/>
        </w:rPr>
        <w:t>joint tort</w:t>
      </w:r>
      <w:r w:rsidR="00BF278E" w:rsidRPr="006A612F">
        <w:rPr>
          <w:shd w:val="clear" w:color="auto" w:fill="FFFFFF"/>
        </w:rPr>
        <w:t>’</w:t>
      </w:r>
      <w:r w:rsidRPr="006A612F">
        <w:rPr>
          <w:shd w:val="clear" w:color="auto" w:fill="FFFFFF"/>
        </w:rPr>
        <w:t xml:space="preserve"> was that of vicarious liability for concerted action.</w:t>
      </w:r>
      <w:r w:rsidR="00BF278E" w:rsidRPr="006A612F">
        <w:rPr>
          <w:shd w:val="clear" w:color="auto" w:fill="FFFFFF"/>
        </w:rPr>
        <w:t>”</w:t>
      </w:r>
      <w:bookmarkStart w:id="16" w:name="_Ref88328308"/>
      <w:r w:rsidRPr="006A612F">
        <w:rPr>
          <w:rStyle w:val="NoterefInText"/>
        </w:rPr>
        <w:footnoteReference w:id="215"/>
      </w:r>
      <w:bookmarkEnd w:id="16"/>
      <w:r w:rsidRPr="006A612F">
        <w:rPr>
          <w:shd w:val="clear" w:color="auto" w:fill="FFFFFF"/>
        </w:rPr>
        <w:t xml:space="preserve"> In these cases</w:t>
      </w:r>
      <w:r w:rsidRPr="006A612F">
        <w:t>,</w:t>
      </w:r>
      <w:r w:rsidRPr="006A612F">
        <w:rPr>
          <w:shd w:val="clear" w:color="auto" w:fill="FFFFFF"/>
        </w:rPr>
        <w:t xml:space="preserve"> the defendants had a shared purpose </w:t>
      </w:r>
      <w:r w:rsidRPr="006A612F">
        <w:t xml:space="preserve">and </w:t>
      </w:r>
      <w:r w:rsidRPr="006A612F">
        <w:rPr>
          <w:shd w:val="clear" w:color="auto" w:fill="FFFFFF"/>
        </w:rPr>
        <w:t>worked together to carry it out.</w:t>
      </w:r>
      <w:r w:rsidRPr="006A612F">
        <w:rPr>
          <w:rStyle w:val="NoterefInText"/>
        </w:rPr>
        <w:footnoteReference w:id="216"/>
      </w:r>
      <w:r w:rsidR="006A559C" w:rsidRPr="006A612F">
        <w:rPr>
          <w:shd w:val="clear" w:color="auto" w:fill="FFFFFF"/>
        </w:rPr>
        <w:t xml:space="preserve"> </w:t>
      </w:r>
      <w:r w:rsidRPr="006A612F">
        <w:t>Consequently, each defendant was liable for the entire harm</w:t>
      </w:r>
      <w:r w:rsidRPr="006A612F">
        <w:rPr>
          <w:rStyle w:val="NoterefInText"/>
        </w:rPr>
        <w:footnoteReference w:id="217"/>
      </w:r>
      <w:r w:rsidRPr="006A612F">
        <w:t xml:space="preserve"> and plaintiffs could select </w:t>
      </w:r>
      <w:r w:rsidR="00B95961" w:rsidRPr="006A612F">
        <w:t>which of</w:t>
      </w:r>
      <w:r w:rsidRPr="006A612F">
        <w:t xml:space="preserve"> the potential defendant</w:t>
      </w:r>
      <w:r w:rsidR="00B95961" w:rsidRPr="006A612F">
        <w:t>s</w:t>
      </w:r>
      <w:r w:rsidRPr="006A612F">
        <w:t xml:space="preserve"> they wanted to sue.</w:t>
      </w:r>
      <w:r w:rsidRPr="006A612F">
        <w:rPr>
          <w:rStyle w:val="NoterefInText"/>
        </w:rPr>
        <w:footnoteReference w:id="218"/>
      </w:r>
      <w:r w:rsidR="006A559C" w:rsidRPr="006A612F">
        <w:t xml:space="preserve"> </w:t>
      </w:r>
    </w:p>
    <w:p w14:paraId="29F73740" w14:textId="328E7A2A" w:rsidR="00F70B74" w:rsidRPr="006A612F" w:rsidRDefault="00F70B74" w:rsidP="00AA6ED0">
      <w:pPr>
        <w:pStyle w:val="Document"/>
        <w:spacing w:line="240" w:lineRule="auto"/>
      </w:pPr>
      <w:r w:rsidRPr="006A612F">
        <w:t xml:space="preserve">Eventually, the law evolved to allow </w:t>
      </w:r>
      <w:r w:rsidR="00B9250A" w:rsidRPr="006A612F">
        <w:t>application</w:t>
      </w:r>
      <w:r w:rsidR="00892581" w:rsidRPr="006A612F">
        <w:t xml:space="preserve"> of </w:t>
      </w:r>
      <w:r w:rsidRPr="006A612F">
        <w:t>joint liability against tortfeasors who acted independently of one another.</w:t>
      </w:r>
      <w:r w:rsidRPr="006A612F">
        <w:rPr>
          <w:rStyle w:val="NoterefInText"/>
        </w:rPr>
        <w:footnoteReference w:id="219"/>
      </w:r>
      <w:r w:rsidRPr="006A612F">
        <w:t xml:space="preserve"> For example, in </w:t>
      </w:r>
      <w:r w:rsidRPr="006A612F">
        <w:rPr>
          <w:i/>
          <w:iCs/>
        </w:rPr>
        <w:t>Summers v. Tice</w:t>
      </w:r>
      <w:r w:rsidR="005F685F" w:rsidRPr="006A612F">
        <w:t>,</w:t>
      </w:r>
      <w:r w:rsidR="00E961E4" w:rsidRPr="006A612F">
        <w:rPr>
          <w:rStyle w:val="NoterefInText"/>
        </w:rPr>
        <w:footnoteReference w:id="220"/>
      </w:r>
      <w:r w:rsidRPr="006A612F">
        <w:t xml:space="preserve"> the plaintiff was injured when two members of his hunting party negligently fired </w:t>
      </w:r>
      <w:r w:rsidR="00E46E3A" w:rsidRPr="006A612F">
        <w:t xml:space="preserve">in </w:t>
      </w:r>
      <w:r w:rsidRPr="006A612F">
        <w:t>his direction.</w:t>
      </w:r>
      <w:r w:rsidR="006A559C" w:rsidRPr="006A612F">
        <w:t xml:space="preserve"> </w:t>
      </w:r>
      <w:r w:rsidRPr="006A612F">
        <w:t>One hunter shot the plaintiff in the eye, but it was unclear which hunter had done so. The plaintiff sued both hunters.</w:t>
      </w:r>
      <w:r w:rsidR="006A559C" w:rsidRPr="006A612F">
        <w:t xml:space="preserve"> </w:t>
      </w:r>
      <w:r w:rsidRPr="006A612F">
        <w:t xml:space="preserve">However, they countered that </w:t>
      </w:r>
      <w:r w:rsidR="00BF278E" w:rsidRPr="006A612F">
        <w:t>“</w:t>
      </w:r>
      <w:r w:rsidRPr="006A612F">
        <w:rPr>
          <w:shd w:val="clear" w:color="auto" w:fill="FFFFFF"/>
        </w:rPr>
        <w:t xml:space="preserve">they were not acting in concert, and that there </w:t>
      </w:r>
      <w:r w:rsidR="005E4C88" w:rsidRPr="006A612F">
        <w:rPr>
          <w:shd w:val="clear" w:color="auto" w:fill="FFFFFF"/>
        </w:rPr>
        <w:t xml:space="preserve">[was] </w:t>
      </w:r>
      <w:r w:rsidRPr="006A612F">
        <w:rPr>
          <w:shd w:val="clear" w:color="auto" w:fill="FFFFFF"/>
        </w:rPr>
        <w:t>not sufficient evidence to show which defendant was guilty of the negligence which caused the injuries.</w:t>
      </w:r>
      <w:r w:rsidR="00BF278E" w:rsidRPr="006A612F">
        <w:rPr>
          <w:shd w:val="clear" w:color="auto" w:fill="FFFFFF"/>
        </w:rPr>
        <w:t>”</w:t>
      </w:r>
      <w:r w:rsidRPr="006A612F">
        <w:rPr>
          <w:rStyle w:val="NoterefInText"/>
        </w:rPr>
        <w:footnoteReference w:id="221"/>
      </w:r>
      <w:r w:rsidR="006A559C" w:rsidRPr="006A612F">
        <w:rPr>
          <w:shd w:val="clear" w:color="auto" w:fill="FFFFFF"/>
        </w:rPr>
        <w:t xml:space="preserve"> </w:t>
      </w:r>
      <w:r w:rsidRPr="006A612F">
        <w:rPr>
          <w:shd w:val="clear" w:color="auto" w:fill="FFFFFF"/>
        </w:rPr>
        <w:t>The court held</w:t>
      </w:r>
      <w:r w:rsidR="002A51D9" w:rsidRPr="006A612F">
        <w:rPr>
          <w:shd w:val="clear" w:color="auto" w:fill="FFFFFF"/>
        </w:rPr>
        <w:t xml:space="preserve"> that</w:t>
      </w:r>
      <w:r w:rsidRPr="006A612F">
        <w:rPr>
          <w:shd w:val="clear" w:color="auto" w:fill="FFFFFF"/>
        </w:rPr>
        <w:t xml:space="preserve"> </w:t>
      </w:r>
      <w:r w:rsidR="00BF278E" w:rsidRPr="006A612F">
        <w:rPr>
          <w:shd w:val="clear" w:color="auto" w:fill="FFFFFF"/>
        </w:rPr>
        <w:t>“</w:t>
      </w:r>
      <w:r w:rsidRPr="006A612F">
        <w:t>each defendant is liable for the whole damage whether they are deemed to be acting in concert or independently.</w:t>
      </w:r>
      <w:r w:rsidR="00BF278E" w:rsidRPr="006A612F">
        <w:t>”</w:t>
      </w:r>
      <w:r w:rsidRPr="006A612F">
        <w:rPr>
          <w:rStyle w:val="NoterefInText"/>
        </w:rPr>
        <w:footnoteReference w:id="222"/>
      </w:r>
      <w:r w:rsidR="006A559C" w:rsidRPr="006A612F">
        <w:t xml:space="preserve"> </w:t>
      </w:r>
      <w:r w:rsidRPr="006A612F">
        <w:t xml:space="preserve">The </w:t>
      </w:r>
      <w:r w:rsidR="00432C75" w:rsidRPr="006A612F">
        <w:t>Second Restatement</w:t>
      </w:r>
      <w:r w:rsidRPr="006A612F">
        <w:t xml:space="preserve"> of Torts later adopted this </w:t>
      </w:r>
      <w:r w:rsidR="00BF278E" w:rsidRPr="006A612F">
        <w:t>“</w:t>
      </w:r>
      <w:r w:rsidRPr="006A612F">
        <w:rPr>
          <w:color w:val="000000"/>
        </w:rPr>
        <w:t>alternative liability</w:t>
      </w:r>
      <w:r w:rsidR="00BF278E" w:rsidRPr="006A612F">
        <w:rPr>
          <w:color w:val="000000"/>
        </w:rPr>
        <w:t>”</w:t>
      </w:r>
      <w:r w:rsidRPr="006A612F">
        <w:rPr>
          <w:color w:val="000000"/>
        </w:rPr>
        <w:t xml:space="preserve"> rule.</w:t>
      </w:r>
      <w:r w:rsidRPr="006A612F">
        <w:rPr>
          <w:rStyle w:val="NoterefInText"/>
        </w:rPr>
        <w:footnoteReference w:id="223"/>
      </w:r>
      <w:r w:rsidR="006A559C" w:rsidRPr="006A612F">
        <w:rPr>
          <w:color w:val="000000"/>
        </w:rPr>
        <w:t xml:space="preserve"> </w:t>
      </w:r>
      <w:r w:rsidRPr="006A612F">
        <w:t xml:space="preserve">The court reasoned that where both defendants are negligent and it is impossible to apportion the damages between them, </w:t>
      </w:r>
      <w:r w:rsidR="00BF278E" w:rsidRPr="006A612F">
        <w:t>“</w:t>
      </w:r>
      <w:r w:rsidRPr="006A612F">
        <w:t>the innocent wronged party should not be deprived of his right to redress</w:t>
      </w:r>
      <w:r w:rsidR="00BF278E" w:rsidRPr="006A612F">
        <w:t>”</w:t>
      </w:r>
      <w:r w:rsidRPr="006A612F">
        <w:t xml:space="preserve"> and </w:t>
      </w:r>
      <w:r w:rsidR="00BF278E" w:rsidRPr="006A612F">
        <w:t>“</w:t>
      </w:r>
      <w:r w:rsidRPr="006A612F">
        <w:t xml:space="preserve">[t]he wrongdoers should be left to work out between </w:t>
      </w:r>
      <w:r w:rsidRPr="006A612F">
        <w:lastRenderedPageBreak/>
        <w:t>themselves any apportionment.</w:t>
      </w:r>
      <w:r w:rsidR="00BF278E" w:rsidRPr="006A612F">
        <w:t>”</w:t>
      </w:r>
      <w:r w:rsidRPr="006A612F">
        <w:rPr>
          <w:rStyle w:val="NoterefInText"/>
        </w:rPr>
        <w:footnoteReference w:id="224"/>
      </w:r>
      <w:r w:rsidR="006A559C" w:rsidRPr="006A612F">
        <w:t xml:space="preserve"> </w:t>
      </w:r>
      <w:r w:rsidRPr="006A612F">
        <w:t>Similarly, the Third Restatement of Torts offers the following rationale for alternative liability:</w:t>
      </w:r>
    </w:p>
    <w:p w14:paraId="0C0F602E" w14:textId="50255C06" w:rsidR="00F70B74" w:rsidRPr="006A612F" w:rsidRDefault="00F70B74" w:rsidP="00AA6ED0">
      <w:pPr>
        <w:pStyle w:val="1StQuoteTXT"/>
        <w:spacing w:line="240" w:lineRule="auto"/>
      </w:pPr>
      <w:r w:rsidRPr="006A612F">
        <w:t>The rationale for shifting the burden of proof to defendants whose tortious conduct exposed the plaintiff to a risk of harm is that, as between two culpable defendants and an innocent plaintiff, it is preferable to put the risk of error on the culpable defendants. In at least some cases, it appears that the defendants</w:t>
      </w:r>
      <w:r w:rsidR="00BF278E" w:rsidRPr="006A612F">
        <w:t>’</w:t>
      </w:r>
      <w:r w:rsidRPr="006A612F">
        <w:t xml:space="preserve"> better access to proof and doubts about the plaintiff</w:t>
      </w:r>
      <w:r w:rsidR="00BF278E" w:rsidRPr="006A612F">
        <w:t>’</w:t>
      </w:r>
      <w:r w:rsidRPr="006A612F">
        <w:t>s ability to extract that evidence from the defendants, even with modern discovery, have influenced the courts to employ burden shifting.</w:t>
      </w:r>
      <w:r w:rsidR="009B0B64" w:rsidRPr="006A612F">
        <w:rPr>
          <w:rStyle w:val="NoterefInText"/>
        </w:rPr>
        <w:footnoteReference w:id="225"/>
      </w:r>
    </w:p>
    <w:p w14:paraId="44E97497" w14:textId="22AA8C83" w:rsidR="00F70B74" w:rsidRPr="006A612F" w:rsidRDefault="00F70B74" w:rsidP="00AA6ED0">
      <w:pPr>
        <w:pStyle w:val="Document"/>
        <w:spacing w:line="240" w:lineRule="auto"/>
      </w:pPr>
      <w:r w:rsidRPr="006A612F">
        <w:t>Arguably, the Court</w:t>
      </w:r>
      <w:r w:rsidR="00BF278E" w:rsidRPr="006A612F">
        <w:t>’</w:t>
      </w:r>
      <w:r w:rsidRPr="006A612F">
        <w:t xml:space="preserve">s holding in </w:t>
      </w:r>
      <w:r w:rsidRPr="006A612F">
        <w:rPr>
          <w:i/>
          <w:iCs/>
        </w:rPr>
        <w:t>Summers v. Tice</w:t>
      </w:r>
      <w:r w:rsidRPr="006A612F">
        <w:t xml:space="preserve"> is justifiable because both defendants were negligent and there was a 50% chance that each defendant caused the injury.</w:t>
      </w:r>
      <w:r w:rsidRPr="006A612F">
        <w:rPr>
          <w:rStyle w:val="NoterefInText"/>
        </w:rPr>
        <w:footnoteReference w:id="226"/>
      </w:r>
    </w:p>
    <w:p w14:paraId="4B2AA151" w14:textId="41C98693" w:rsidR="00F70B74" w:rsidRPr="006A612F" w:rsidRDefault="00F70B74" w:rsidP="00AA6ED0">
      <w:pPr>
        <w:pStyle w:val="Document"/>
        <w:spacing w:line="240" w:lineRule="auto"/>
      </w:pPr>
      <w:r w:rsidRPr="006A612F">
        <w:t xml:space="preserve">Yet, courts expanded </w:t>
      </w:r>
      <w:r w:rsidR="00BF278E" w:rsidRPr="006A612F">
        <w:t>“</w:t>
      </w:r>
      <w:r w:rsidRPr="006A612F">
        <w:t>joint liability</w:t>
      </w:r>
      <w:r w:rsidR="00BF278E" w:rsidRPr="006A612F">
        <w:t>”</w:t>
      </w:r>
      <w:r w:rsidRPr="006A612F">
        <w:t xml:space="preserve"> to make multiple defendants liable.</w:t>
      </w:r>
      <w:r w:rsidR="006A559C" w:rsidRPr="006A612F">
        <w:t xml:space="preserve"> </w:t>
      </w:r>
      <w:r w:rsidRPr="006A612F">
        <w:t xml:space="preserve">The </w:t>
      </w:r>
      <w:r w:rsidR="00BF278E" w:rsidRPr="006A612F">
        <w:t>“</w:t>
      </w:r>
      <w:r w:rsidR="00A4225C" w:rsidRPr="006A612F">
        <w:t>m</w:t>
      </w:r>
      <w:r w:rsidRPr="006A612F">
        <w:t xml:space="preserve">arket </w:t>
      </w:r>
      <w:r w:rsidR="00BA6EA8" w:rsidRPr="006A612F">
        <w:t>s</w:t>
      </w:r>
      <w:r w:rsidRPr="006A612F">
        <w:t>hare</w:t>
      </w:r>
      <w:r w:rsidR="00BF278E" w:rsidRPr="006A612F">
        <w:t>”</w:t>
      </w:r>
      <w:r w:rsidRPr="006A612F">
        <w:t xml:space="preserve"> theory of liability was first articulated by the California Supreme Court in 1980. This theory of collective liability states that when there are multiple manufacturers of a fungible good named in a negligence suit, and the plaintiff cannot prove which manufacturer produced the specific item that harmed them, the court may hold the manufacturers liable proportionate to their share of the market of the good that caused the injury, unless the manufacturer can prove they did not produce the good that caused injury to the plaintiff.</w:t>
      </w:r>
      <w:r w:rsidRPr="006A612F">
        <w:rPr>
          <w:rStyle w:val="NoterefInText"/>
        </w:rPr>
        <w:footnoteReference w:id="227"/>
      </w:r>
      <w:r w:rsidRPr="006A612F">
        <w:t xml:space="preserve"> This theory of liability was inspired by the </w:t>
      </w:r>
      <w:r w:rsidRPr="006A612F">
        <w:lastRenderedPageBreak/>
        <w:t>court</w:t>
      </w:r>
      <w:r w:rsidR="00BF278E" w:rsidRPr="006A612F">
        <w:t>’</w:t>
      </w:r>
      <w:r w:rsidRPr="006A612F">
        <w:t xml:space="preserve">s holding in </w:t>
      </w:r>
      <w:r w:rsidRPr="006A612F">
        <w:rPr>
          <w:i/>
          <w:iCs/>
        </w:rPr>
        <w:t>Summers v. Tice</w:t>
      </w:r>
      <w:r w:rsidRPr="006A612F">
        <w:t xml:space="preserve"> and their conclusion that when </w:t>
      </w:r>
      <w:r w:rsidR="007E6A3C" w:rsidRPr="006A612F">
        <w:t xml:space="preserve">a </w:t>
      </w:r>
      <w:r w:rsidRPr="006A612F">
        <w:t xml:space="preserve">court is trying to decide between </w:t>
      </w:r>
      <w:r w:rsidR="00BF278E" w:rsidRPr="006A612F">
        <w:t>“</w:t>
      </w:r>
      <w:r w:rsidRPr="006A612F">
        <w:t>an innocent plaintiff and negligent defendants, the latter should bear the costs of the injury.</w:t>
      </w:r>
      <w:r w:rsidR="00BF278E" w:rsidRPr="006A612F">
        <w:t>”</w:t>
      </w:r>
      <w:r w:rsidRPr="006A612F">
        <w:rPr>
          <w:rStyle w:val="NoterefInText"/>
        </w:rPr>
        <w:footnoteReference w:id="228"/>
      </w:r>
    </w:p>
    <w:p w14:paraId="3D7B7FCF" w14:textId="2011C783" w:rsidR="00F70B74" w:rsidRPr="006A612F" w:rsidRDefault="00F70B74" w:rsidP="00AA6ED0">
      <w:pPr>
        <w:pStyle w:val="Document"/>
        <w:spacing w:line="240" w:lineRule="auto"/>
      </w:pPr>
      <w:r w:rsidRPr="006A612F">
        <w:t>Joint and several liability is a related but distinct concept concerning the apportionment of damages.</w:t>
      </w:r>
      <w:r w:rsidR="006A559C" w:rsidRPr="006A612F">
        <w:t xml:space="preserve"> </w:t>
      </w:r>
      <w:r w:rsidRPr="006A612F">
        <w:t>Courts use the doctrine to hold liable each person who helped to cause either part, or all, of the harm the plaintiff suffered.</w:t>
      </w:r>
      <w:r w:rsidR="006208C8" w:rsidRPr="006A612F">
        <w:rPr>
          <w:rStyle w:val="NoterefInText"/>
        </w:rPr>
        <w:footnoteReference w:id="229"/>
      </w:r>
      <w:r w:rsidRPr="006A612F">
        <w:t xml:space="preserve"> Each defendant is liable for the entirety of the harm. Meaning, the plaintiff can recover up to 100% of the judgment from any single defendant. However, if the plaintiff collects more than the share of the injury that was ultimately apportioned to that defendant, then it would be up to that defendant to seek contribution from their co-defendants.</w:t>
      </w:r>
      <w:r w:rsidRPr="006A612F">
        <w:rPr>
          <w:rStyle w:val="NoterefInText"/>
        </w:rPr>
        <w:footnoteReference w:id="230"/>
      </w:r>
      <w:r w:rsidRPr="006A612F">
        <w:t xml:space="preserve"> Joint and several liability ensures defendants, rather than the innocent plaintiff, are responsible for the shortfall.</w:t>
      </w:r>
      <w:r w:rsidRPr="006A612F">
        <w:rPr>
          <w:rStyle w:val="NoterefInText"/>
        </w:rPr>
        <w:footnoteReference w:id="231"/>
      </w:r>
      <w:r w:rsidR="006A559C" w:rsidRPr="006A612F">
        <w:t xml:space="preserve"> </w:t>
      </w:r>
    </w:p>
    <w:p w14:paraId="45E30ACE" w14:textId="1ED906E4" w:rsidR="00F70B74" w:rsidRPr="006A612F" w:rsidRDefault="00F70B74" w:rsidP="00AA6ED0">
      <w:pPr>
        <w:pStyle w:val="Document"/>
        <w:spacing w:line="240" w:lineRule="auto"/>
      </w:pPr>
      <w:r w:rsidRPr="006A612F">
        <w:t xml:space="preserve">One integral point in joint tort, market share liability, and joint and several liability is that the plaintiff </w:t>
      </w:r>
      <w:r w:rsidR="005E10D8" w:rsidRPr="006A612F">
        <w:t xml:space="preserve">must </w:t>
      </w:r>
      <w:r w:rsidRPr="006A612F">
        <w:t xml:space="preserve">prove that each of the defendants committed a </w:t>
      </w:r>
      <w:r w:rsidR="00BF278E" w:rsidRPr="006A612F">
        <w:t>“</w:t>
      </w:r>
      <w:r w:rsidRPr="006A612F">
        <w:t>breach.</w:t>
      </w:r>
      <w:r w:rsidR="00BF278E" w:rsidRPr="006A612F">
        <w:t>”</w:t>
      </w:r>
      <w:r w:rsidR="006A559C" w:rsidRPr="006A612F">
        <w:t xml:space="preserve"> </w:t>
      </w:r>
      <w:r w:rsidRPr="006A612F">
        <w:t xml:space="preserve">As noted in </w:t>
      </w:r>
      <w:r w:rsidR="00013B2B" w:rsidRPr="006A612F">
        <w:t xml:space="preserve">subpart </w:t>
      </w:r>
      <w:r w:rsidR="00A7488C" w:rsidRPr="006A612F">
        <w:t>III(</w:t>
      </w:r>
      <w:r w:rsidRPr="006A612F">
        <w:t>A</w:t>
      </w:r>
      <w:r w:rsidR="00A7488C" w:rsidRPr="006A612F">
        <w:t>)</w:t>
      </w:r>
      <w:r w:rsidRPr="006A612F">
        <w:t>, plaintiffs prove breach differently in common law tort cases and § 1983 cases.</w:t>
      </w:r>
      <w:r w:rsidR="006A559C" w:rsidRPr="006A612F">
        <w:t xml:space="preserve"> </w:t>
      </w:r>
      <w:r w:rsidRPr="006A612F">
        <w:t>In § 1983 litigation</w:t>
      </w:r>
      <w:r w:rsidR="00F61BD7" w:rsidRPr="006A612F">
        <w:t>,</w:t>
      </w:r>
      <w:r w:rsidRPr="006A612F">
        <w:t xml:space="preserve"> the relevant breach is the constitutional breach.</w:t>
      </w:r>
      <w:r w:rsidRPr="006A612F">
        <w:rPr>
          <w:rStyle w:val="NoterefInText"/>
        </w:rPr>
        <w:footnoteReference w:id="232"/>
      </w:r>
      <w:r w:rsidR="006A559C" w:rsidRPr="006A612F">
        <w:t xml:space="preserve">  </w:t>
      </w:r>
      <w:r w:rsidRPr="006A612F">
        <w:t xml:space="preserve">Furthermore, in many of these cases the plaintiff is not alleging that each defendant violated the </w:t>
      </w:r>
      <w:r w:rsidR="00024CE0" w:rsidRPr="006A612F">
        <w:t>C</w:t>
      </w:r>
      <w:r w:rsidRPr="006A612F">
        <w:t>onstitution.</w:t>
      </w:r>
      <w:r w:rsidR="006A559C" w:rsidRPr="006A612F">
        <w:t xml:space="preserve"> </w:t>
      </w:r>
      <w:r w:rsidRPr="006A612F">
        <w:t xml:space="preserve">Rather, he or she alleges that each defendant </w:t>
      </w:r>
      <w:r w:rsidRPr="006A612F">
        <w:rPr>
          <w:i/>
          <w:iCs/>
        </w:rPr>
        <w:t xml:space="preserve">caused </w:t>
      </w:r>
      <w:r w:rsidRPr="006A612F">
        <w:t>the constitutional violation.</w:t>
      </w:r>
      <w:r w:rsidR="006A559C" w:rsidRPr="006A612F">
        <w:t xml:space="preserve"> </w:t>
      </w:r>
      <w:r w:rsidRPr="006A612F">
        <w:t>Consider the example discussed in the Introduction</w:t>
      </w:r>
      <w:r w:rsidR="00477D61" w:rsidRPr="006A612F">
        <w:t>:</w:t>
      </w:r>
      <w:r w:rsidR="006A559C" w:rsidRPr="006A612F">
        <w:t xml:space="preserve"> </w:t>
      </w:r>
      <w:r w:rsidRPr="006A612F">
        <w:t>There are four officers on the scene. The plaintiff alleges one, and only one</w:t>
      </w:r>
      <w:r w:rsidR="00F61BD7" w:rsidRPr="006A612F">
        <w:t>,</w:t>
      </w:r>
      <w:r w:rsidRPr="006A612F">
        <w:t xml:space="preserve"> officer, kicked him.</w:t>
      </w:r>
      <w:r w:rsidR="006A559C" w:rsidRPr="006A612F">
        <w:t xml:space="preserve"> </w:t>
      </w:r>
      <w:r w:rsidRPr="006A612F">
        <w:t>Based on these facts, a § 1983 plaintiff would argue that the officer who kicked him deprived him of his Fourth Amendment right to be free from an unreasonable seizure.</w:t>
      </w:r>
      <w:r w:rsidR="006A559C" w:rsidRPr="006A612F">
        <w:t xml:space="preserve"> </w:t>
      </w:r>
      <w:r w:rsidR="00545910" w:rsidRPr="006A612F">
        <w:t>While only one officer violated the Constitution, t</w:t>
      </w:r>
      <w:r w:rsidRPr="006A612F">
        <w:t xml:space="preserve">he other three officers </w:t>
      </w:r>
      <w:r w:rsidRPr="006A612F">
        <w:rPr>
          <w:i/>
          <w:iCs/>
        </w:rPr>
        <w:t>caused</w:t>
      </w:r>
      <w:r w:rsidRPr="006A612F">
        <w:t xml:space="preserve"> the </w:t>
      </w:r>
      <w:r w:rsidR="00545910" w:rsidRPr="006A612F">
        <w:t xml:space="preserve">constitutional </w:t>
      </w:r>
      <w:r w:rsidRPr="006A612F">
        <w:t>deprivation by failing to intervene.</w:t>
      </w:r>
      <w:r w:rsidRPr="006A612F">
        <w:rPr>
          <w:rStyle w:val="NoterefInText"/>
        </w:rPr>
        <w:footnoteReference w:id="233"/>
      </w:r>
      <w:r w:rsidR="006A559C" w:rsidRPr="006A612F">
        <w:t xml:space="preserve"> </w:t>
      </w:r>
    </w:p>
    <w:p w14:paraId="32225C2D" w14:textId="62C306C6" w:rsidR="00F70B74" w:rsidRPr="006A612F" w:rsidRDefault="00F70B74" w:rsidP="00AA6ED0">
      <w:pPr>
        <w:pStyle w:val="Document"/>
        <w:spacing w:line="240" w:lineRule="auto"/>
      </w:pPr>
      <w:r w:rsidRPr="006A612F">
        <w:t xml:space="preserve">This subtle, but important, distinction aligns with how the </w:t>
      </w:r>
      <w:r w:rsidR="00C42DD1" w:rsidRPr="006A612F">
        <w:t xml:space="preserve">Supreme </w:t>
      </w:r>
      <w:r w:rsidRPr="006A612F">
        <w:t>Court describes municipal liability.</w:t>
      </w:r>
      <w:r w:rsidR="006A559C" w:rsidRPr="006A612F">
        <w:t xml:space="preserve"> </w:t>
      </w:r>
      <w:r w:rsidRPr="006A612F">
        <w:t>A municipality is not liable simply for failing to train its employees.</w:t>
      </w:r>
      <w:r w:rsidR="006A559C" w:rsidRPr="006A612F">
        <w:t xml:space="preserve"> </w:t>
      </w:r>
      <w:r w:rsidRPr="006A612F">
        <w:t xml:space="preserve">Failure to train, in and of itself, is not a </w:t>
      </w:r>
      <w:r w:rsidRPr="006A612F">
        <w:lastRenderedPageBreak/>
        <w:t>constitutional violation.</w:t>
      </w:r>
      <w:r w:rsidRPr="006A612F">
        <w:rPr>
          <w:rStyle w:val="NoterefInText"/>
        </w:rPr>
        <w:footnoteReference w:id="234"/>
      </w:r>
      <w:r w:rsidR="006A559C" w:rsidRPr="006A612F">
        <w:t xml:space="preserve"> </w:t>
      </w:r>
      <w:r w:rsidRPr="006A612F">
        <w:t>A municipality cannot be held liable under § 1983 without an underlying constitutional violation by one of its employees.</w:t>
      </w:r>
      <w:r w:rsidRPr="006A612F">
        <w:rPr>
          <w:rStyle w:val="NoterefInText"/>
        </w:rPr>
        <w:footnoteReference w:id="235"/>
      </w:r>
      <w:r w:rsidRPr="006A612F">
        <w:t xml:space="preserve"> A municipality is liable when (1) the municipality fails to train its employees</w:t>
      </w:r>
      <w:r w:rsidR="00896A15" w:rsidRPr="006A612F">
        <w:t>,</w:t>
      </w:r>
      <w:r w:rsidRPr="006A612F">
        <w:t xml:space="preserve"> (2) the employee violates the </w:t>
      </w:r>
      <w:r w:rsidR="003063E3" w:rsidRPr="006A612F">
        <w:t>C</w:t>
      </w:r>
      <w:r w:rsidRPr="006A612F">
        <w:t>onstitution</w:t>
      </w:r>
      <w:r w:rsidR="00896A15" w:rsidRPr="006A612F">
        <w:t>,</w:t>
      </w:r>
      <w:r w:rsidRPr="006A612F">
        <w:t xml:space="preserve"> and (3) the court finds the municipalit</w:t>
      </w:r>
      <w:r w:rsidR="00F61BD7" w:rsidRPr="006A612F">
        <w:t>y</w:t>
      </w:r>
      <w:r w:rsidR="00BF278E" w:rsidRPr="006A612F">
        <w:t>’</w:t>
      </w:r>
      <w:r w:rsidRPr="006A612F">
        <w:t>s failure caused the violation. Similarly, absent an underlying Fourth Amendment claim, a §</w:t>
      </w:r>
      <w:r w:rsidR="000B1D04" w:rsidRPr="006A612F">
        <w:t> </w:t>
      </w:r>
      <w:r w:rsidRPr="006A612F">
        <w:t xml:space="preserve">1983 </w:t>
      </w:r>
      <w:r w:rsidR="0011001E" w:rsidRPr="006A612F">
        <w:t>plaintiff</w:t>
      </w:r>
      <w:r w:rsidRPr="006A612F">
        <w:t xml:space="preserve"> cannot win a §</w:t>
      </w:r>
      <w:r w:rsidR="000B1D04" w:rsidRPr="006A612F">
        <w:t> </w:t>
      </w:r>
      <w:r w:rsidRPr="006A612F">
        <w:t>1983 claim against an official for failure to intervene.</w:t>
      </w:r>
      <w:r w:rsidRPr="006A612F">
        <w:rPr>
          <w:rStyle w:val="NoterefInText"/>
        </w:rPr>
        <w:footnoteReference w:id="236"/>
      </w:r>
      <w:r w:rsidR="006A559C" w:rsidRPr="006A612F">
        <w:t xml:space="preserve"> </w:t>
      </w:r>
      <w:r w:rsidR="005B32AF" w:rsidRPr="006A612F">
        <w:t>T</w:t>
      </w:r>
      <w:r w:rsidRPr="006A612F">
        <w:t xml:space="preserve">raditional joint liability only applies when </w:t>
      </w:r>
      <w:r w:rsidRPr="006A612F">
        <w:rPr>
          <w:i/>
          <w:iCs/>
        </w:rPr>
        <w:t>each</w:t>
      </w:r>
      <w:r w:rsidRPr="006A612F">
        <w:t xml:space="preserve"> of the defendants violates the </w:t>
      </w:r>
      <w:r w:rsidR="0011001E" w:rsidRPr="006A612F">
        <w:t>C</w:t>
      </w:r>
      <w:r w:rsidRPr="006A612F">
        <w:t>onstitution.</w:t>
      </w:r>
      <w:r w:rsidR="006A559C" w:rsidRPr="006A612F">
        <w:t xml:space="preserve"> </w:t>
      </w:r>
      <w:r w:rsidRPr="006A612F">
        <w:t>This simply is not what happens in most § 1983 cases involving multiple defendants.</w:t>
      </w:r>
    </w:p>
    <w:p w14:paraId="6B36EDEE" w14:textId="1FEB7349" w:rsidR="00F70B74" w:rsidRPr="006A612F" w:rsidRDefault="00F70B74" w:rsidP="00AA6ED0">
      <w:pPr>
        <w:pStyle w:val="Document"/>
        <w:spacing w:line="240" w:lineRule="auto"/>
        <w:rPr>
          <w:shd w:val="clear" w:color="auto" w:fill="FFFFFF"/>
        </w:rPr>
      </w:pPr>
      <w:r w:rsidRPr="006A612F">
        <w:t>When a § 1983 plaintiff is suing multiple police officers for a Fourth Amendment violation</w:t>
      </w:r>
      <w:r w:rsidR="00A81874" w:rsidRPr="006A612F">
        <w:t>,</w:t>
      </w:r>
      <w:r w:rsidRPr="006A612F">
        <w:t xml:space="preserve"> there are, generally speaking, two paths for holding all of the officers liable.</w:t>
      </w:r>
      <w:r w:rsidR="006A559C" w:rsidRPr="006A612F">
        <w:t xml:space="preserve"> </w:t>
      </w:r>
      <w:r w:rsidRPr="006A612F">
        <w:t xml:space="preserve">First, the plaintiff might allege that </w:t>
      </w:r>
      <w:r w:rsidRPr="006A612F">
        <w:rPr>
          <w:i/>
          <w:iCs/>
        </w:rPr>
        <w:t>all</w:t>
      </w:r>
      <w:r w:rsidRPr="006A612F">
        <w:t xml:space="preserve"> of the defendants violated the Constitution.</w:t>
      </w:r>
      <w:r w:rsidR="006A559C" w:rsidRPr="006A612F">
        <w:t xml:space="preserve"> </w:t>
      </w:r>
      <w:r w:rsidRPr="006A612F">
        <w:t xml:space="preserve">For example, in </w:t>
      </w:r>
      <w:r w:rsidRPr="006A612F">
        <w:rPr>
          <w:i/>
          <w:iCs/>
          <w:shd w:val="clear" w:color="auto" w:fill="FFFFFF"/>
        </w:rPr>
        <w:t>Grandstaff v. City of Borger</w:t>
      </w:r>
      <w:r w:rsidRPr="006A612F">
        <w:rPr>
          <w:shd w:val="clear" w:color="auto" w:fill="FFFFFF"/>
        </w:rPr>
        <w:t>,</w:t>
      </w:r>
      <w:r w:rsidR="00F61BD7" w:rsidRPr="006A612F">
        <w:rPr>
          <w:rStyle w:val="NoterefInText"/>
        </w:rPr>
        <w:footnoteReference w:id="237"/>
      </w:r>
      <w:r w:rsidRPr="006A612F">
        <w:rPr>
          <w:i/>
          <w:iCs/>
          <w:shd w:val="clear" w:color="auto" w:fill="FFFFFF"/>
        </w:rPr>
        <w:t xml:space="preserve"> </w:t>
      </w:r>
      <w:r w:rsidRPr="006A612F">
        <w:rPr>
          <w:shd w:val="clear" w:color="auto" w:fill="FFFFFF"/>
        </w:rPr>
        <w:t>the plaintiff claimed that all four defendants deprived the decedent of his Fourteenth Amendment substantive due process rights.</w:t>
      </w:r>
      <w:r w:rsidR="00F61BD7" w:rsidRPr="006A612F">
        <w:rPr>
          <w:rStyle w:val="NoterefInText"/>
        </w:rPr>
        <w:footnoteReference w:id="238"/>
      </w:r>
      <w:r w:rsidRPr="006A612F">
        <w:rPr>
          <w:shd w:val="clear" w:color="auto" w:fill="FFFFFF"/>
        </w:rPr>
        <w:t xml:space="preserve"> Joint liability works well in these cases because the plaintiff is alleging that each of the defendants breached the </w:t>
      </w:r>
      <w:r w:rsidR="005131FD" w:rsidRPr="006A612F">
        <w:rPr>
          <w:shd w:val="clear" w:color="auto" w:fill="FFFFFF"/>
        </w:rPr>
        <w:t>C</w:t>
      </w:r>
      <w:r w:rsidRPr="006A612F">
        <w:rPr>
          <w:shd w:val="clear" w:color="auto" w:fill="FFFFFF"/>
        </w:rPr>
        <w:t>onstitution.</w:t>
      </w:r>
      <w:r w:rsidR="006A559C" w:rsidRPr="006A612F">
        <w:rPr>
          <w:shd w:val="clear" w:color="auto" w:fill="FFFFFF"/>
        </w:rPr>
        <w:t xml:space="preserve"> </w:t>
      </w:r>
      <w:r w:rsidRPr="006A612F">
        <w:rPr>
          <w:shd w:val="clear" w:color="auto" w:fill="FFFFFF"/>
        </w:rPr>
        <w:t xml:space="preserve">Alternatively, in cases like </w:t>
      </w:r>
      <w:r w:rsidRPr="006A612F">
        <w:rPr>
          <w:i/>
          <w:iCs/>
          <w:shd w:val="clear" w:color="auto" w:fill="FFFFFF"/>
        </w:rPr>
        <w:t>Jutrowski</w:t>
      </w:r>
      <w:r w:rsidRPr="006A612F">
        <w:rPr>
          <w:shd w:val="clear" w:color="auto" w:fill="FFFFFF"/>
        </w:rPr>
        <w:t xml:space="preserve">, where the plaintiff suggests only one official inflicted the blow, or </w:t>
      </w:r>
      <w:r w:rsidRPr="006A612F">
        <w:rPr>
          <w:i/>
          <w:iCs/>
          <w:shd w:val="clear" w:color="auto" w:fill="FFFFFF"/>
        </w:rPr>
        <w:t>Colbert</w:t>
      </w:r>
      <w:r w:rsidRPr="006A612F">
        <w:rPr>
          <w:shd w:val="clear" w:color="auto" w:fill="FFFFFF"/>
        </w:rPr>
        <w:t>, where the plaintiff is not sure who damaged his property, joint liability, at least in its traditional form, is inapplicable.</w:t>
      </w:r>
      <w:r w:rsidR="006A559C" w:rsidRPr="006A612F">
        <w:rPr>
          <w:shd w:val="clear" w:color="auto" w:fill="FFFFFF"/>
        </w:rPr>
        <w:t xml:space="preserve"> </w:t>
      </w:r>
      <w:r w:rsidRPr="006A612F">
        <w:rPr>
          <w:shd w:val="clear" w:color="auto" w:fill="FFFFFF"/>
        </w:rPr>
        <w:t>Joint liability very much depends on the plaintiff being able to prove that all defendants were engaged in the same misconduct.</w:t>
      </w:r>
      <w:r w:rsidR="006A559C" w:rsidRPr="006A612F">
        <w:rPr>
          <w:shd w:val="clear" w:color="auto" w:fill="FFFFFF"/>
        </w:rPr>
        <w:t xml:space="preserve"> </w:t>
      </w:r>
      <w:r w:rsidRPr="006A612F">
        <w:rPr>
          <w:shd w:val="clear" w:color="auto" w:fill="FFFFFF"/>
        </w:rPr>
        <w:t>This is a problem for § 1983 plaintiffs purs</w:t>
      </w:r>
      <w:r w:rsidR="00A33FE7" w:rsidRPr="006A612F">
        <w:rPr>
          <w:shd w:val="clear" w:color="auto" w:fill="FFFFFF"/>
        </w:rPr>
        <w:t>u</w:t>
      </w:r>
      <w:r w:rsidRPr="006A612F">
        <w:rPr>
          <w:shd w:val="clear" w:color="auto" w:fill="FFFFFF"/>
        </w:rPr>
        <w:t xml:space="preserve">ing a </w:t>
      </w:r>
      <w:r w:rsidR="00BF278E" w:rsidRPr="006A612F">
        <w:rPr>
          <w:shd w:val="clear" w:color="auto" w:fill="FFFFFF"/>
        </w:rPr>
        <w:t>“</w:t>
      </w:r>
      <w:r w:rsidRPr="006A612F">
        <w:rPr>
          <w:shd w:val="clear" w:color="auto" w:fill="FFFFFF"/>
        </w:rPr>
        <w:t>failure to intervene theory of liability</w:t>
      </w:r>
      <w:r w:rsidR="00BF278E" w:rsidRPr="006A612F">
        <w:rPr>
          <w:shd w:val="clear" w:color="auto" w:fill="FFFFFF"/>
        </w:rPr>
        <w:t>”</w:t>
      </w:r>
      <w:r w:rsidRPr="006A612F">
        <w:rPr>
          <w:shd w:val="clear" w:color="auto" w:fill="FFFFFF"/>
        </w:rPr>
        <w:t xml:space="preserve"> because they are alleging two types of misconduct: some are violating the </w:t>
      </w:r>
      <w:r w:rsidR="007E41A6" w:rsidRPr="006A612F">
        <w:rPr>
          <w:shd w:val="clear" w:color="auto" w:fill="FFFFFF"/>
        </w:rPr>
        <w:t>C</w:t>
      </w:r>
      <w:r w:rsidRPr="006A612F">
        <w:rPr>
          <w:shd w:val="clear" w:color="auto" w:fill="FFFFFF"/>
        </w:rPr>
        <w:t>onstitution while others are failing to stop the constitutional violation.</w:t>
      </w:r>
      <w:r w:rsidRPr="006A612F">
        <w:rPr>
          <w:rStyle w:val="NoterefInText"/>
        </w:rPr>
        <w:footnoteReference w:id="239"/>
      </w:r>
      <w:r w:rsidRPr="006A612F">
        <w:rPr>
          <w:shd w:val="clear" w:color="auto" w:fill="FFFFFF"/>
        </w:rPr>
        <w:t xml:space="preserve"> Equally, if not more problematic, absent an admission by the defendant, the plaintiff may not even be able to prove which defendants violated the </w:t>
      </w:r>
      <w:r w:rsidR="001111AB" w:rsidRPr="006A612F">
        <w:rPr>
          <w:shd w:val="clear" w:color="auto" w:fill="FFFFFF"/>
        </w:rPr>
        <w:t>C</w:t>
      </w:r>
      <w:r w:rsidRPr="006A612F">
        <w:rPr>
          <w:shd w:val="clear" w:color="auto" w:fill="FFFFFF"/>
        </w:rPr>
        <w:t xml:space="preserve">onstitution and which defendants were </w:t>
      </w:r>
      <w:r w:rsidR="00BF278E" w:rsidRPr="006A612F">
        <w:rPr>
          <w:shd w:val="clear" w:color="auto" w:fill="FFFFFF"/>
        </w:rPr>
        <w:t>“</w:t>
      </w:r>
      <w:r w:rsidRPr="006A612F">
        <w:rPr>
          <w:shd w:val="clear" w:color="auto" w:fill="FFFFFF"/>
        </w:rPr>
        <w:t>mere bystanders.</w:t>
      </w:r>
      <w:r w:rsidR="00BF278E" w:rsidRPr="006A612F">
        <w:rPr>
          <w:shd w:val="clear" w:color="auto" w:fill="FFFFFF"/>
        </w:rPr>
        <w:t>”</w:t>
      </w:r>
      <w:r w:rsidR="006A559C" w:rsidRPr="006A612F">
        <w:rPr>
          <w:shd w:val="clear" w:color="auto" w:fill="FFFFFF"/>
        </w:rPr>
        <w:t xml:space="preserve"> </w:t>
      </w:r>
      <w:r w:rsidRPr="006A612F">
        <w:rPr>
          <w:shd w:val="clear" w:color="auto" w:fill="FFFFFF"/>
        </w:rPr>
        <w:t>In short, joint tort liability does not work well in cases w</w:t>
      </w:r>
      <w:r w:rsidR="008A00D9" w:rsidRPr="006A612F">
        <w:rPr>
          <w:shd w:val="clear" w:color="auto" w:fill="FFFFFF"/>
        </w:rPr>
        <w:t>h</w:t>
      </w:r>
      <w:r w:rsidRPr="006A612F">
        <w:rPr>
          <w:shd w:val="clear" w:color="auto" w:fill="FFFFFF"/>
        </w:rPr>
        <w:t xml:space="preserve">ere </w:t>
      </w:r>
      <w:r w:rsidRPr="006A612F">
        <w:rPr>
          <w:shd w:val="clear" w:color="auto" w:fill="FFFFFF"/>
        </w:rPr>
        <w:lastRenderedPageBreak/>
        <w:t xml:space="preserve">the plaintiff pursues a failure to intervene theory of liability or the plaintiff is uncertain how each individual defendant </w:t>
      </w:r>
      <w:r w:rsidR="00BF278E" w:rsidRPr="006A612F">
        <w:rPr>
          <w:shd w:val="clear" w:color="auto" w:fill="FFFFFF"/>
        </w:rPr>
        <w:t>“</w:t>
      </w:r>
      <w:r w:rsidRPr="006A612F">
        <w:rPr>
          <w:shd w:val="clear" w:color="auto" w:fill="FFFFFF"/>
        </w:rPr>
        <w:t>caused</w:t>
      </w:r>
      <w:r w:rsidR="00BF278E" w:rsidRPr="006A612F">
        <w:rPr>
          <w:shd w:val="clear" w:color="auto" w:fill="FFFFFF"/>
        </w:rPr>
        <w:t>”</w:t>
      </w:r>
      <w:r w:rsidRPr="006A612F">
        <w:rPr>
          <w:shd w:val="clear" w:color="auto" w:fill="FFFFFF"/>
        </w:rPr>
        <w:t xml:space="preserve"> her injury.</w:t>
      </w:r>
      <w:r w:rsidRPr="006A612F">
        <w:rPr>
          <w:rStyle w:val="NoterefInText"/>
        </w:rPr>
        <w:footnoteReference w:id="240"/>
      </w:r>
      <w:r w:rsidR="006A559C" w:rsidRPr="006A612F">
        <w:rPr>
          <w:shd w:val="clear" w:color="auto" w:fill="FFFFFF"/>
        </w:rPr>
        <w:t xml:space="preserve"> </w:t>
      </w:r>
      <w:r w:rsidRPr="006A612F">
        <w:rPr>
          <w:shd w:val="clear" w:color="auto" w:fill="FFFFFF"/>
        </w:rPr>
        <w:t xml:space="preserve"> </w:t>
      </w:r>
    </w:p>
    <w:p w14:paraId="3552BD85" w14:textId="4E1824D0" w:rsidR="00F70B74" w:rsidRPr="006A612F" w:rsidRDefault="00F70B74" w:rsidP="00AA6ED0">
      <w:pPr>
        <w:pStyle w:val="SubHead2"/>
        <w:spacing w:line="240" w:lineRule="auto"/>
      </w:pPr>
      <w:r w:rsidRPr="006A612F">
        <w:t>C.</w:t>
      </w:r>
      <w:r w:rsidR="00166D0D" w:rsidRPr="006A612F">
        <w:tab/>
      </w:r>
      <w:r w:rsidRPr="006A612F">
        <w:t>Res Ipsa Loquitur</w:t>
      </w:r>
      <w:r w:rsidR="00F61BD7" w:rsidRPr="006A612F">
        <w:t>—</w:t>
      </w:r>
      <w:r w:rsidRPr="006A612F">
        <w:t>The Thing Speaks for Itself</w:t>
      </w:r>
    </w:p>
    <w:p w14:paraId="423D6D1C" w14:textId="75027730" w:rsidR="00F70B74" w:rsidRPr="006A612F" w:rsidRDefault="00F70B74" w:rsidP="00AA6ED0">
      <w:pPr>
        <w:pStyle w:val="Document"/>
        <w:spacing w:line="240" w:lineRule="auto"/>
      </w:pPr>
      <w:r w:rsidRPr="006A612F">
        <w:rPr>
          <w:shd w:val="clear" w:color="auto" w:fill="FFFFFF"/>
        </w:rPr>
        <w:t>Res ipsa loquitur allows a plaintiff to rely on circumstantial evidence to establish negligence and causation.</w:t>
      </w:r>
      <w:r w:rsidRPr="006A612F">
        <w:rPr>
          <w:rStyle w:val="NoterefInText"/>
        </w:rPr>
        <w:footnoteReference w:id="241"/>
      </w:r>
      <w:r w:rsidR="006A559C" w:rsidRPr="006A612F">
        <w:rPr>
          <w:shd w:val="clear" w:color="auto" w:fill="FFFFFF"/>
        </w:rPr>
        <w:t xml:space="preserve"> </w:t>
      </w:r>
      <w:r w:rsidRPr="006A612F">
        <w:rPr>
          <w:i/>
          <w:shd w:val="clear" w:color="auto" w:fill="FFFFFF"/>
        </w:rPr>
        <w:t>Byrne v. Boadle</w:t>
      </w:r>
      <w:bookmarkStart w:id="17" w:name="_Ref85376982"/>
      <w:r w:rsidR="00D3384E" w:rsidRPr="006A612F">
        <w:rPr>
          <w:rStyle w:val="NoterefInText"/>
        </w:rPr>
        <w:footnoteReference w:id="242"/>
      </w:r>
      <w:bookmarkEnd w:id="17"/>
      <w:r w:rsidRPr="006A612F">
        <w:rPr>
          <w:iCs/>
          <w:shd w:val="clear" w:color="auto" w:fill="FFFFFF"/>
        </w:rPr>
        <w:t xml:space="preserve"> </w:t>
      </w:r>
      <w:r w:rsidRPr="006A612F">
        <w:rPr>
          <w:shd w:val="clear" w:color="auto" w:fill="FFFFFF"/>
        </w:rPr>
        <w:t>is the first case to articulate this theory.</w:t>
      </w:r>
      <w:r w:rsidRPr="006A612F">
        <w:rPr>
          <w:rStyle w:val="NoterefInText"/>
        </w:rPr>
        <w:footnoteReference w:id="243"/>
      </w:r>
      <w:r w:rsidR="006A559C" w:rsidRPr="006A612F">
        <w:rPr>
          <w:shd w:val="clear" w:color="auto" w:fill="FFFFFF"/>
        </w:rPr>
        <w:t xml:space="preserve"> </w:t>
      </w:r>
      <w:r w:rsidRPr="006A612F">
        <w:rPr>
          <w:shd w:val="clear" w:color="auto" w:fill="FFFFFF"/>
        </w:rPr>
        <w:t>In th</w:t>
      </w:r>
      <w:r w:rsidR="00BD31FA" w:rsidRPr="006A612F">
        <w:rPr>
          <w:shd w:val="clear" w:color="auto" w:fill="FFFFFF"/>
        </w:rPr>
        <w:t>at</w:t>
      </w:r>
      <w:r w:rsidRPr="006A612F">
        <w:rPr>
          <w:shd w:val="clear" w:color="auto" w:fill="FFFFFF"/>
        </w:rPr>
        <w:t xml:space="preserve"> case</w:t>
      </w:r>
      <w:r w:rsidR="00BD31FA" w:rsidRPr="006A612F">
        <w:rPr>
          <w:shd w:val="clear" w:color="auto" w:fill="FFFFFF"/>
        </w:rPr>
        <w:t>,</w:t>
      </w:r>
      <w:r w:rsidRPr="006A612F">
        <w:rPr>
          <w:shd w:val="clear" w:color="auto" w:fill="FFFFFF"/>
        </w:rPr>
        <w:t xml:space="preserve"> the plaintiff was walking past the defendant</w:t>
      </w:r>
      <w:r w:rsidR="00BF278E" w:rsidRPr="006A612F">
        <w:rPr>
          <w:shd w:val="clear" w:color="auto" w:fill="FFFFFF"/>
        </w:rPr>
        <w:t>’</w:t>
      </w:r>
      <w:r w:rsidRPr="006A612F">
        <w:rPr>
          <w:shd w:val="clear" w:color="auto" w:fill="FFFFFF"/>
        </w:rPr>
        <w:t>s shop when he was struck by a barrel of flour.</w:t>
      </w:r>
      <w:r w:rsidRPr="006A612F">
        <w:rPr>
          <w:rStyle w:val="NoterefInText"/>
        </w:rPr>
        <w:footnoteReference w:id="244"/>
      </w:r>
      <w:r w:rsidR="006A559C" w:rsidRPr="006A612F">
        <w:rPr>
          <w:shd w:val="clear" w:color="auto" w:fill="FFFFFF"/>
        </w:rPr>
        <w:t xml:space="preserve"> </w:t>
      </w:r>
      <w:r w:rsidRPr="006A612F">
        <w:rPr>
          <w:shd w:val="clear" w:color="auto" w:fill="FFFFFF"/>
        </w:rPr>
        <w:t>Two witnesses testified that they saw the barrel fall from the window and did not hear or see any type of warning but, beyond that, they were not sure what happened.</w:t>
      </w:r>
      <w:r w:rsidRPr="006A612F">
        <w:rPr>
          <w:rStyle w:val="NoterefInText"/>
        </w:rPr>
        <w:footnoteReference w:id="245"/>
      </w:r>
      <w:r w:rsidRPr="006A612F">
        <w:rPr>
          <w:shd w:val="clear" w:color="auto" w:fill="FFFFFF"/>
        </w:rPr>
        <w:t xml:space="preserve"> Similarly, the plaintiff claimed that when he approached the defendant</w:t>
      </w:r>
      <w:r w:rsidR="00BF278E" w:rsidRPr="006A612F">
        <w:rPr>
          <w:shd w:val="clear" w:color="auto" w:fill="FFFFFF"/>
        </w:rPr>
        <w:t>’</w:t>
      </w:r>
      <w:r w:rsidRPr="006A612F">
        <w:rPr>
          <w:shd w:val="clear" w:color="auto" w:fill="FFFFFF"/>
        </w:rPr>
        <w:t>s shop</w:t>
      </w:r>
      <w:r w:rsidR="004B1699" w:rsidRPr="006A612F">
        <w:rPr>
          <w:shd w:val="clear" w:color="auto" w:fill="FFFFFF"/>
        </w:rPr>
        <w:t>:</w:t>
      </w:r>
      <w:r w:rsidRPr="006A612F">
        <w:rPr>
          <w:shd w:val="clear" w:color="auto" w:fill="FFFFFF"/>
        </w:rPr>
        <w:t xml:space="preserve"> </w:t>
      </w:r>
      <w:r w:rsidR="00BF278E" w:rsidRPr="006A612F">
        <w:rPr>
          <w:shd w:val="clear" w:color="auto" w:fill="FFFFFF"/>
        </w:rPr>
        <w:t>“</w:t>
      </w:r>
      <w:r w:rsidRPr="006A612F">
        <w:t>I lost all recollection. I felt no blow. I saw nothing to warn me of danger.</w:t>
      </w:r>
      <w:r w:rsidR="00BF278E" w:rsidRPr="006A612F">
        <w:t>”</w:t>
      </w:r>
      <w:r w:rsidRPr="006A612F">
        <w:rPr>
          <w:rStyle w:val="NoterefInText"/>
        </w:rPr>
        <w:footnoteReference w:id="246"/>
      </w:r>
      <w:r w:rsidRPr="006A612F">
        <w:t xml:space="preserve"> The defendant argued that there was no evidence that he was negligent.</w:t>
      </w:r>
      <w:r w:rsidRPr="006A612F">
        <w:rPr>
          <w:rStyle w:val="NoterefInText"/>
        </w:rPr>
        <w:footnoteReference w:id="247"/>
      </w:r>
      <w:r w:rsidR="006A559C" w:rsidRPr="006A612F">
        <w:t xml:space="preserve"> </w:t>
      </w:r>
      <w:r w:rsidRPr="006A612F">
        <w:t>The court opined as follows:</w:t>
      </w:r>
    </w:p>
    <w:p w14:paraId="498FA430" w14:textId="46A69D7F" w:rsidR="00F70B74" w:rsidRPr="006A612F" w:rsidRDefault="00F70B74" w:rsidP="00AA6ED0">
      <w:pPr>
        <w:pStyle w:val="1StQuoteTXT"/>
        <w:spacing w:line="240" w:lineRule="auto"/>
      </w:pPr>
      <w:r w:rsidRPr="006A612F">
        <w:t>There are certain cases of which it may be said res ipsa loquitur, and this seems one of them</w:t>
      </w:r>
      <w:r w:rsidR="00BF278E" w:rsidRPr="006A612F">
        <w:t>. . . .</w:t>
      </w:r>
      <w:r w:rsidR="008459E7" w:rsidRPr="006A612F">
        <w:t xml:space="preserve"> </w:t>
      </w:r>
      <w:r w:rsidRPr="006A612F">
        <w:t>Suppose in this case the barrel had rolled out of the warehouse and fallen on the plaintiff, how could he possibly ascertain from what cause it occurred? It is the duty of persons who keep barrels in a warehouse to take care that they do not roll out, and I think that such a case would, beyond all doubt, afford primâ facie evidence of negligence. A barrel could not roll out of a warehouse without some negligence, and to say that a plaintiff who is injured by it must call witnesses from the warehouse to prove negligence seems to me preposterous.</w:t>
      </w:r>
      <w:bookmarkStart w:id="18" w:name="_Ref85376995"/>
      <w:r w:rsidRPr="006A612F">
        <w:rPr>
          <w:rStyle w:val="NoterefInText"/>
        </w:rPr>
        <w:footnoteReference w:id="248"/>
      </w:r>
      <w:bookmarkEnd w:id="18"/>
    </w:p>
    <w:p w14:paraId="269A9730" w14:textId="5BD98A2B" w:rsidR="00F70B74" w:rsidRPr="006A612F" w:rsidRDefault="00F70B74" w:rsidP="00AA6ED0">
      <w:pPr>
        <w:pStyle w:val="Document"/>
        <w:spacing w:line="240" w:lineRule="auto"/>
      </w:pPr>
      <w:r w:rsidRPr="006A612F">
        <w:t xml:space="preserve">The plaintiff may establish a prima facie case by proving: </w:t>
      </w:r>
      <w:r w:rsidR="00BF278E" w:rsidRPr="006A612F">
        <w:t>“</w:t>
      </w:r>
      <w:r w:rsidRPr="006A612F">
        <w:rPr>
          <w:shd w:val="clear" w:color="auto" w:fill="FFFFFF"/>
        </w:rPr>
        <w:t xml:space="preserve">(1) the character of the accident is such that it would not ordinarily occur in the absence of negligence, and (2) the instrumentality causing the injury is shown </w:t>
      </w:r>
      <w:r w:rsidRPr="006A612F">
        <w:rPr>
          <w:shd w:val="clear" w:color="auto" w:fill="FFFFFF"/>
        </w:rPr>
        <w:lastRenderedPageBreak/>
        <w:t>to have been under the management and control of the defendant.</w:t>
      </w:r>
      <w:r w:rsidR="00BF278E" w:rsidRPr="006A612F">
        <w:rPr>
          <w:shd w:val="clear" w:color="auto" w:fill="FFFFFF"/>
        </w:rPr>
        <w:t>”</w:t>
      </w:r>
      <w:r w:rsidRPr="006A612F">
        <w:rPr>
          <w:rStyle w:val="NoterefInText"/>
        </w:rPr>
        <w:footnoteReference w:id="249"/>
      </w:r>
      <w:r w:rsidRPr="006A612F">
        <w:rPr>
          <w:shd w:val="clear" w:color="auto" w:fill="FFFFFF"/>
        </w:rPr>
        <w:t xml:space="preserve"> Combined, proof of these elements create</w:t>
      </w:r>
      <w:r w:rsidR="00BD31FA" w:rsidRPr="006A612F">
        <w:rPr>
          <w:shd w:val="clear" w:color="auto" w:fill="FFFFFF"/>
        </w:rPr>
        <w:t>s</w:t>
      </w:r>
      <w:r w:rsidRPr="006A612F">
        <w:rPr>
          <w:shd w:val="clear" w:color="auto" w:fill="FFFFFF"/>
        </w:rPr>
        <w:t xml:space="preserve"> an inference that the defendant caused the accident.</w:t>
      </w:r>
      <w:r w:rsidRPr="006A612F">
        <w:rPr>
          <w:rStyle w:val="NoterefInText"/>
        </w:rPr>
        <w:footnoteReference w:id="250"/>
      </w:r>
      <w:r w:rsidRPr="006A612F">
        <w:rPr>
          <w:shd w:val="clear" w:color="auto" w:fill="FFFFFF"/>
        </w:rPr>
        <w:t xml:space="preserve"> The first element is indicative of negligence.</w:t>
      </w:r>
      <w:r w:rsidRPr="006A612F">
        <w:rPr>
          <w:rStyle w:val="NoterefInText"/>
        </w:rPr>
        <w:footnoteReference w:id="251"/>
      </w:r>
      <w:r w:rsidR="006A559C" w:rsidRPr="006A612F">
        <w:rPr>
          <w:shd w:val="clear" w:color="auto" w:fill="FFFFFF"/>
        </w:rPr>
        <w:t xml:space="preserve"> </w:t>
      </w:r>
      <w:r w:rsidRPr="006A612F">
        <w:rPr>
          <w:shd w:val="clear" w:color="auto" w:fill="FFFFFF"/>
        </w:rPr>
        <w:t xml:space="preserve">The second links </w:t>
      </w:r>
      <w:r w:rsidR="005565F5" w:rsidRPr="006A612F">
        <w:rPr>
          <w:shd w:val="clear" w:color="auto" w:fill="FFFFFF"/>
        </w:rPr>
        <w:t xml:space="preserve">the </w:t>
      </w:r>
      <w:r w:rsidRPr="006A612F">
        <w:rPr>
          <w:shd w:val="clear" w:color="auto" w:fill="FFFFFF"/>
        </w:rPr>
        <w:t>defendant to the negligence.</w:t>
      </w:r>
      <w:r w:rsidRPr="006A612F">
        <w:rPr>
          <w:rStyle w:val="NoterefInText"/>
        </w:rPr>
        <w:footnoteReference w:id="252"/>
      </w:r>
      <w:r w:rsidRPr="006A612F">
        <w:rPr>
          <w:shd w:val="clear" w:color="auto" w:fill="FFFFFF"/>
        </w:rPr>
        <w:t xml:space="preserve"> The burden of production then shifts </w:t>
      </w:r>
      <w:r w:rsidRPr="006A612F">
        <w:t xml:space="preserve">to the defendant to prove that he or she was </w:t>
      </w:r>
      <w:r w:rsidRPr="006A612F">
        <w:rPr>
          <w:i/>
          <w:iCs/>
        </w:rPr>
        <w:t>not</w:t>
      </w:r>
      <w:r w:rsidRPr="006A612F">
        <w:t xml:space="preserve"> negligent.</w:t>
      </w:r>
      <w:r w:rsidRPr="006A612F">
        <w:rPr>
          <w:rStyle w:val="NoterefInText"/>
        </w:rPr>
        <w:footnoteReference w:id="253"/>
      </w:r>
      <w:r w:rsidR="006A559C" w:rsidRPr="006A612F">
        <w:t xml:space="preserve"> </w:t>
      </w:r>
    </w:p>
    <w:p w14:paraId="13A6C66F" w14:textId="190141E3" w:rsidR="00F70B74" w:rsidRPr="006A612F" w:rsidRDefault="00F70B74" w:rsidP="00AA6ED0">
      <w:pPr>
        <w:pStyle w:val="Document"/>
        <w:spacing w:line="240" w:lineRule="auto"/>
        <w:rPr>
          <w:shd w:val="clear" w:color="auto" w:fill="FFFFFF"/>
        </w:rPr>
      </w:pPr>
      <w:r w:rsidRPr="006A612F">
        <w:rPr>
          <w:shd w:val="clear" w:color="auto" w:fill="FFFFFF"/>
        </w:rPr>
        <w:t>One important rationale underlying the doctrine of res ipsa loquitur is information asymmetry.</w:t>
      </w:r>
      <w:r w:rsidRPr="006A612F">
        <w:rPr>
          <w:rStyle w:val="NoterefInText"/>
        </w:rPr>
        <w:footnoteReference w:id="254"/>
      </w:r>
      <w:r w:rsidR="006A559C" w:rsidRPr="006A612F">
        <w:rPr>
          <w:shd w:val="clear" w:color="auto" w:fill="FFFFFF"/>
        </w:rPr>
        <w:t xml:space="preserve"> </w:t>
      </w:r>
      <w:r w:rsidR="00DE63B5" w:rsidRPr="006A612F">
        <w:rPr>
          <w:shd w:val="clear" w:color="auto" w:fill="FFFFFF"/>
        </w:rPr>
        <w:t xml:space="preserve">Plaintiffs will </w:t>
      </w:r>
      <w:r w:rsidRPr="006A612F">
        <w:rPr>
          <w:shd w:val="clear" w:color="auto" w:fill="FFFFFF"/>
        </w:rPr>
        <w:t>know they have suffered an injury</w:t>
      </w:r>
      <w:r w:rsidR="00107994" w:rsidRPr="006A612F">
        <w:rPr>
          <w:shd w:val="clear" w:color="auto" w:fill="FFFFFF"/>
        </w:rPr>
        <w:t>,</w:t>
      </w:r>
      <w:r w:rsidRPr="006A612F">
        <w:rPr>
          <w:shd w:val="clear" w:color="auto" w:fill="FFFFFF"/>
        </w:rPr>
        <w:t xml:space="preserve"> and </w:t>
      </w:r>
      <w:r w:rsidR="004C245A" w:rsidRPr="006A612F">
        <w:rPr>
          <w:shd w:val="clear" w:color="auto" w:fill="FFFFFF"/>
        </w:rPr>
        <w:t>each plaintiff will be</w:t>
      </w:r>
      <w:r w:rsidRPr="006A612F">
        <w:rPr>
          <w:shd w:val="clear" w:color="auto" w:fill="FFFFFF"/>
        </w:rPr>
        <w:t xml:space="preserve"> fairly certain that the injury was caused by </w:t>
      </w:r>
      <w:r w:rsidR="009836A9" w:rsidRPr="006A612F">
        <w:rPr>
          <w:shd w:val="clear" w:color="auto" w:fill="FFFFFF"/>
        </w:rPr>
        <w:t xml:space="preserve">the </w:t>
      </w:r>
      <w:r w:rsidRPr="006A612F">
        <w:rPr>
          <w:shd w:val="clear" w:color="auto" w:fill="FFFFFF"/>
        </w:rPr>
        <w:t>defendant</w:t>
      </w:r>
      <w:r w:rsidR="00BF278E" w:rsidRPr="006A612F">
        <w:rPr>
          <w:shd w:val="clear" w:color="auto" w:fill="FFFFFF"/>
        </w:rPr>
        <w:t>’</w:t>
      </w:r>
      <w:r w:rsidRPr="006A612F">
        <w:rPr>
          <w:shd w:val="clear" w:color="auto" w:fill="FFFFFF"/>
        </w:rPr>
        <w:t>s negligence.</w:t>
      </w:r>
      <w:r w:rsidR="006A559C" w:rsidRPr="006A612F">
        <w:rPr>
          <w:shd w:val="clear" w:color="auto" w:fill="FFFFFF"/>
        </w:rPr>
        <w:t xml:space="preserve"> </w:t>
      </w:r>
      <w:r w:rsidRPr="006A612F">
        <w:rPr>
          <w:shd w:val="clear" w:color="auto" w:fill="FFFFFF"/>
        </w:rPr>
        <w:t xml:space="preserve">However, as the court noted in </w:t>
      </w:r>
      <w:r w:rsidRPr="006A612F">
        <w:rPr>
          <w:i/>
          <w:iCs/>
          <w:shd w:val="clear" w:color="auto" w:fill="FFFFFF"/>
        </w:rPr>
        <w:t>Byrne</w:t>
      </w:r>
      <w:r w:rsidRPr="006A612F">
        <w:rPr>
          <w:shd w:val="clear" w:color="auto" w:fill="FFFFFF"/>
        </w:rPr>
        <w:t>, the plaintiff is often not in a position to know the details of the accident.</w:t>
      </w:r>
      <w:r w:rsidRPr="006A612F">
        <w:rPr>
          <w:rStyle w:val="NoterefInText"/>
        </w:rPr>
        <w:footnoteReference w:id="255"/>
      </w:r>
      <w:r w:rsidRPr="006A612F">
        <w:rPr>
          <w:shd w:val="clear" w:color="auto" w:fill="FFFFFF"/>
        </w:rPr>
        <w:t xml:space="preserve"> By shifting the burden onto the defendant, the court places the burden on the party better positioned to know or learn what happened.</w:t>
      </w:r>
      <w:r w:rsidR="006A559C" w:rsidRPr="006A612F">
        <w:rPr>
          <w:shd w:val="clear" w:color="auto" w:fill="FFFFFF"/>
        </w:rPr>
        <w:t xml:space="preserve"> </w:t>
      </w:r>
    </w:p>
    <w:p w14:paraId="00175A6F" w14:textId="2AC8C9C8" w:rsidR="00F70B74" w:rsidRPr="006A612F" w:rsidRDefault="00F70B74" w:rsidP="00AA6ED0">
      <w:pPr>
        <w:pStyle w:val="Document"/>
        <w:spacing w:line="240" w:lineRule="auto"/>
        <w:rPr>
          <w:shd w:val="clear" w:color="auto" w:fill="FFFFFF"/>
        </w:rPr>
      </w:pPr>
      <w:r w:rsidRPr="006A612F">
        <w:rPr>
          <w:shd w:val="clear" w:color="auto" w:fill="FFFFFF"/>
        </w:rPr>
        <w:lastRenderedPageBreak/>
        <w:t>Victims of police excessive force at the hands of multiple police officials, like tort plaintiffs relying on res ipsa loquitur, often know they were injured but cannot provide much in the way of details</w:t>
      </w:r>
      <w:r w:rsidR="00806D78" w:rsidRPr="006A612F">
        <w:rPr>
          <w:shd w:val="clear" w:color="auto" w:fill="FFFFFF"/>
        </w:rPr>
        <w:t>—</w:t>
      </w:r>
      <w:r w:rsidRPr="006A612F">
        <w:rPr>
          <w:shd w:val="clear" w:color="auto" w:fill="FFFFFF"/>
        </w:rPr>
        <w:t>they may know who was present and little else.</w:t>
      </w:r>
      <w:r w:rsidR="006A559C" w:rsidRPr="006A612F">
        <w:rPr>
          <w:shd w:val="clear" w:color="auto" w:fill="FFFFFF"/>
        </w:rPr>
        <w:t xml:space="preserve"> </w:t>
      </w:r>
      <w:r w:rsidRPr="006A612F">
        <w:rPr>
          <w:shd w:val="clear" w:color="auto" w:fill="FFFFFF"/>
        </w:rPr>
        <w:t>They are, however, able to offer circumstantial evidence that one or more of the defendants caused the constitutional deprivation.</w:t>
      </w:r>
      <w:r w:rsidRPr="006A612F">
        <w:rPr>
          <w:rStyle w:val="NoterefInText"/>
        </w:rPr>
        <w:footnoteReference w:id="256"/>
      </w:r>
      <w:r w:rsidR="006A559C" w:rsidRPr="006A612F">
        <w:rPr>
          <w:shd w:val="clear" w:color="auto" w:fill="FFFFFF"/>
        </w:rPr>
        <w:t xml:space="preserve"> </w:t>
      </w:r>
    </w:p>
    <w:p w14:paraId="1AF4FA17" w14:textId="7D237463" w:rsidR="00F70B74" w:rsidRPr="006A612F" w:rsidRDefault="00F70B74" w:rsidP="00AA6ED0">
      <w:pPr>
        <w:pStyle w:val="Document"/>
        <w:spacing w:line="240" w:lineRule="auto"/>
      </w:pPr>
      <w:r w:rsidRPr="006A612F">
        <w:rPr>
          <w:shd w:val="clear" w:color="auto" w:fill="FFFFFF"/>
        </w:rPr>
        <w:t>However, there is an important distinction between these police misconduct cases and traditional res ipsa loquitur cases.</w:t>
      </w:r>
      <w:r w:rsidR="006A559C" w:rsidRPr="006A612F">
        <w:rPr>
          <w:shd w:val="clear" w:color="auto" w:fill="FFFFFF"/>
        </w:rPr>
        <w:t xml:space="preserve"> </w:t>
      </w:r>
      <w:r w:rsidRPr="006A612F">
        <w:rPr>
          <w:shd w:val="clear" w:color="auto" w:fill="FFFFFF"/>
        </w:rPr>
        <w:t xml:space="preserve">In the early cases, res ipsa loquitur often worked in tandem with vicarious liability. </w:t>
      </w:r>
      <w:r w:rsidRPr="006A612F">
        <w:t xml:space="preserve">For example, in </w:t>
      </w:r>
      <w:r w:rsidRPr="006A612F">
        <w:rPr>
          <w:i/>
        </w:rPr>
        <w:t>B</w:t>
      </w:r>
      <w:r w:rsidR="001A40F6">
        <w:rPr>
          <w:i/>
        </w:rPr>
        <w:t>yr</w:t>
      </w:r>
      <w:r w:rsidRPr="006A612F">
        <w:rPr>
          <w:i/>
        </w:rPr>
        <w:t>ne</w:t>
      </w:r>
      <w:r w:rsidRPr="006A612F">
        <w:t>, several workers were present when the barrel rolled out of the flour shop and injured the plaintiff.</w:t>
      </w:r>
      <w:r w:rsidR="006A559C" w:rsidRPr="006A612F">
        <w:t xml:space="preserve"> </w:t>
      </w:r>
      <w:r w:rsidRPr="006A612F">
        <w:t>However, the defendant, because of vicarious liability, was liable for their misconduct, even if he was not directly involved</w:t>
      </w:r>
      <w:r w:rsidR="00A5320A" w:rsidRPr="006A612F">
        <w:t>—</w:t>
      </w:r>
      <w:r w:rsidRPr="006A612F">
        <w:t>the court attributed his employees</w:t>
      </w:r>
      <w:r w:rsidR="00BF278E" w:rsidRPr="006A612F">
        <w:t>’</w:t>
      </w:r>
      <w:r w:rsidRPr="006A612F">
        <w:t xml:space="preserve"> actions to him. Thus, at least legally, he had exclusive control over the instrumentality that caused the plaintiff</w:t>
      </w:r>
      <w:r w:rsidR="00BF278E" w:rsidRPr="006A612F">
        <w:t>’</w:t>
      </w:r>
      <w:r w:rsidRPr="006A612F">
        <w:t>s injury.</w:t>
      </w:r>
      <w:r w:rsidR="00C93164" w:rsidRPr="006A612F">
        <w:rPr>
          <w:rStyle w:val="NoterefInText"/>
        </w:rPr>
        <w:footnoteReference w:id="257"/>
      </w:r>
      <w:r w:rsidR="006A559C" w:rsidRPr="006A612F">
        <w:rPr>
          <w:shd w:val="clear" w:color="auto" w:fill="FFFFFF"/>
        </w:rPr>
        <w:t xml:space="preserve"> </w:t>
      </w:r>
      <w:r w:rsidRPr="006A612F">
        <w:rPr>
          <w:shd w:val="clear" w:color="auto" w:fill="FFFFFF"/>
        </w:rPr>
        <w:t>As one Note explains:</w:t>
      </w:r>
    </w:p>
    <w:p w14:paraId="432B0CD0" w14:textId="464FCC8C" w:rsidR="00F70B74" w:rsidRPr="006A612F" w:rsidRDefault="00F70B74" w:rsidP="00AA6ED0">
      <w:pPr>
        <w:pStyle w:val="1StQuoteTXT"/>
        <w:spacing w:line="240" w:lineRule="auto"/>
        <w:rPr>
          <w:color w:val="000000" w:themeColor="text1"/>
        </w:rPr>
      </w:pPr>
      <w:r w:rsidRPr="006A612F">
        <w:rPr>
          <w:shd w:val="clear" w:color="auto" w:fill="FFFFFF"/>
        </w:rPr>
        <w:t xml:space="preserve">The usual </w:t>
      </w:r>
      <w:r w:rsidRPr="006A612F">
        <w:rPr>
          <w:iCs/>
          <w:shd w:val="clear" w:color="auto" w:fill="FFFFFF"/>
        </w:rPr>
        <w:t>res ipsa loquitur</w:t>
      </w:r>
      <w:r w:rsidRPr="006A612F">
        <w:rPr>
          <w:shd w:val="clear" w:color="auto" w:fill="FFFFFF"/>
        </w:rPr>
        <w:t xml:space="preserve"> requirement that the defendant have been in </w:t>
      </w:r>
      <w:r w:rsidR="00BF278E" w:rsidRPr="006A612F">
        <w:rPr>
          <w:shd w:val="clear" w:color="auto" w:fill="FFFFFF"/>
        </w:rPr>
        <w:t>“</w:t>
      </w:r>
      <w:r w:rsidRPr="006A612F">
        <w:rPr>
          <w:shd w:val="clear" w:color="auto" w:fill="FFFFFF"/>
        </w:rPr>
        <w:t>exclusive control</w:t>
      </w:r>
      <w:r w:rsidR="00BF278E" w:rsidRPr="006A612F">
        <w:rPr>
          <w:shd w:val="clear" w:color="auto" w:fill="FFFFFF"/>
        </w:rPr>
        <w:t>”</w:t>
      </w:r>
      <w:r w:rsidRPr="006A612F">
        <w:rPr>
          <w:shd w:val="clear" w:color="auto" w:fill="FFFFFF"/>
        </w:rPr>
        <w:t xml:space="preserve"> of the instrumentality causing plaintiff</w:t>
      </w:r>
      <w:r w:rsidR="00BF278E" w:rsidRPr="006A612F">
        <w:rPr>
          <w:shd w:val="clear" w:color="auto" w:fill="FFFFFF"/>
        </w:rPr>
        <w:t>’</w:t>
      </w:r>
      <w:r w:rsidRPr="006A612F">
        <w:rPr>
          <w:shd w:val="clear" w:color="auto" w:fill="FFFFFF"/>
        </w:rPr>
        <w:t>s injury does not necessarily preclude application of the doctrine where multiple defendants are involved. If the plaintiff can show that all defendants were in concurrent joint control,</w:t>
      </w:r>
      <w:r w:rsidR="000B1D04" w:rsidRPr="006A612F">
        <w:rPr>
          <w:shd w:val="clear" w:color="auto" w:fill="FFFFFF"/>
        </w:rPr>
        <w:t xml:space="preserve"> </w:t>
      </w:r>
      <w:r w:rsidRPr="006A612F">
        <w:rPr>
          <w:shd w:val="clear" w:color="auto" w:fill="FFFFFF"/>
        </w:rPr>
        <w:t>or can use</w:t>
      </w:r>
      <w:r w:rsidR="000B1D04" w:rsidRPr="006A612F">
        <w:rPr>
          <w:shd w:val="clear" w:color="auto" w:fill="FFFFFF"/>
        </w:rPr>
        <w:t xml:space="preserve"> </w:t>
      </w:r>
      <w:r w:rsidRPr="006A612F">
        <w:rPr>
          <w:bdr w:val="none" w:sz="0" w:space="0" w:color="auto" w:frame="1"/>
          <w:shd w:val="clear" w:color="auto" w:fill="FFFFFF"/>
        </w:rPr>
        <w:t>vicarious</w:t>
      </w:r>
      <w:r w:rsidR="000B1D04" w:rsidRPr="006A612F">
        <w:rPr>
          <w:shd w:val="clear" w:color="auto" w:fill="FFFFFF"/>
        </w:rPr>
        <w:t xml:space="preserve"> </w:t>
      </w:r>
      <w:r w:rsidRPr="006A612F">
        <w:rPr>
          <w:bdr w:val="none" w:sz="0" w:space="0" w:color="auto" w:frame="1"/>
          <w:shd w:val="clear" w:color="auto" w:fill="FFFFFF"/>
        </w:rPr>
        <w:t>liability</w:t>
      </w:r>
      <w:r w:rsidRPr="006A612F">
        <w:rPr>
          <w:shd w:val="clear" w:color="auto" w:fill="FFFFFF"/>
        </w:rPr>
        <w:t> or some other rule of law to identify all other defendants with the one in control,</w:t>
      </w:r>
      <w:r w:rsidR="000B1D04" w:rsidRPr="006A612F">
        <w:rPr>
          <w:shd w:val="clear" w:color="auto" w:fill="FFFFFF"/>
        </w:rPr>
        <w:t xml:space="preserve"> </w:t>
      </w:r>
      <w:r w:rsidRPr="006A612F">
        <w:rPr>
          <w:shd w:val="clear" w:color="auto" w:fill="FFFFFF"/>
        </w:rPr>
        <w:t>he may invoke</w:t>
      </w:r>
      <w:r w:rsidR="000B1D04" w:rsidRPr="006A612F">
        <w:rPr>
          <w:shd w:val="clear" w:color="auto" w:fill="FFFFFF"/>
        </w:rPr>
        <w:t xml:space="preserve"> </w:t>
      </w:r>
      <w:r w:rsidRPr="006A612F">
        <w:rPr>
          <w:iCs/>
          <w:bdr w:val="none" w:sz="0" w:space="0" w:color="auto" w:frame="1"/>
          <w:shd w:val="clear" w:color="auto" w:fill="FFFFFF"/>
        </w:rPr>
        <w:t>res</w:t>
      </w:r>
      <w:r w:rsidR="000B1D04" w:rsidRPr="006A612F">
        <w:rPr>
          <w:iCs/>
          <w:shd w:val="clear" w:color="auto" w:fill="FFFFFF"/>
        </w:rPr>
        <w:t xml:space="preserve"> </w:t>
      </w:r>
      <w:r w:rsidRPr="006A612F">
        <w:rPr>
          <w:iCs/>
          <w:bdr w:val="none" w:sz="0" w:space="0" w:color="auto" w:frame="1"/>
          <w:shd w:val="clear" w:color="auto" w:fill="FFFFFF"/>
        </w:rPr>
        <w:t>ipsa</w:t>
      </w:r>
      <w:r w:rsidR="000B1D04" w:rsidRPr="006A612F">
        <w:rPr>
          <w:shd w:val="clear" w:color="auto" w:fill="FFFFFF"/>
        </w:rPr>
        <w:t xml:space="preserve"> </w:t>
      </w:r>
      <w:r w:rsidRPr="006A612F">
        <w:rPr>
          <w:shd w:val="clear" w:color="auto" w:fill="FFFFFF"/>
        </w:rPr>
        <w:t>against all</w:t>
      </w:r>
      <w:r w:rsidR="00BF278E" w:rsidRPr="006A612F">
        <w:rPr>
          <w:shd w:val="clear" w:color="auto" w:fill="FFFFFF"/>
        </w:rPr>
        <w:t>. . . .</w:t>
      </w:r>
      <w:r w:rsidR="00375726" w:rsidRPr="006A612F">
        <w:rPr>
          <w:shd w:val="clear" w:color="auto" w:fill="FFFFFF"/>
        </w:rPr>
        <w:t xml:space="preserve"> </w:t>
      </w:r>
      <w:r w:rsidRPr="006A612F">
        <w:rPr>
          <w:shd w:val="clear" w:color="auto" w:fill="FFFFFF"/>
        </w:rPr>
        <w:t>If, however, he can neither show</w:t>
      </w:r>
      <w:r w:rsidR="000B1D04" w:rsidRPr="006A612F">
        <w:rPr>
          <w:shd w:val="clear" w:color="auto" w:fill="FFFFFF"/>
        </w:rPr>
        <w:t xml:space="preserve"> </w:t>
      </w:r>
      <w:r w:rsidRPr="006A612F">
        <w:rPr>
          <w:shd w:val="clear" w:color="auto" w:fill="FFFFFF"/>
        </w:rPr>
        <w:t>joint responsibility or identification of one with the others, nor single out the defendant in control, the general rule is that the plaintiff may not reach the jury by means of</w:t>
      </w:r>
      <w:r w:rsidRPr="006A612F">
        <w:rPr>
          <w:i/>
          <w:shd w:val="clear" w:color="auto" w:fill="FFFFFF"/>
        </w:rPr>
        <w:t xml:space="preserve"> </w:t>
      </w:r>
      <w:r w:rsidRPr="006A612F">
        <w:rPr>
          <w:iCs/>
          <w:shd w:val="clear" w:color="auto" w:fill="FFFFFF"/>
        </w:rPr>
        <w:t>res ipsa loquitur</w:t>
      </w:r>
      <w:r w:rsidRPr="006A612F">
        <w:rPr>
          <w:shd w:val="clear" w:color="auto" w:fill="FFFFFF"/>
        </w:rPr>
        <w:t>.</w:t>
      </w:r>
      <w:r w:rsidRPr="006A612F">
        <w:rPr>
          <w:rStyle w:val="NoterefInText"/>
        </w:rPr>
        <w:footnoteReference w:id="258"/>
      </w:r>
    </w:p>
    <w:p w14:paraId="65976179" w14:textId="1B20AD24" w:rsidR="00F70B74" w:rsidRPr="006A612F" w:rsidRDefault="00F70B74" w:rsidP="00AA6ED0">
      <w:pPr>
        <w:pStyle w:val="Document"/>
        <w:spacing w:line="240" w:lineRule="auto"/>
        <w:rPr>
          <w:shd w:val="clear" w:color="auto" w:fill="FFFFFF"/>
        </w:rPr>
      </w:pPr>
      <w:r w:rsidRPr="006A612F">
        <w:rPr>
          <w:shd w:val="clear" w:color="auto" w:fill="FFFFFF"/>
        </w:rPr>
        <w:t xml:space="preserve">The tort law of </w:t>
      </w:r>
      <w:r w:rsidRPr="006A612F">
        <w:rPr>
          <w:iCs/>
          <w:shd w:val="clear" w:color="auto" w:fill="FFFFFF"/>
        </w:rPr>
        <w:t>res ipsa loquitur</w:t>
      </w:r>
      <w:r w:rsidRPr="006A612F">
        <w:rPr>
          <w:shd w:val="clear" w:color="auto" w:fill="FFFFFF"/>
        </w:rPr>
        <w:t xml:space="preserve"> and joint tort liability, at least narrowly construed, simply do</w:t>
      </w:r>
      <w:r w:rsidR="00BD31FA" w:rsidRPr="006A612F">
        <w:rPr>
          <w:shd w:val="clear" w:color="auto" w:fill="FFFFFF"/>
        </w:rPr>
        <w:t>es</w:t>
      </w:r>
      <w:r w:rsidRPr="006A612F">
        <w:rPr>
          <w:shd w:val="clear" w:color="auto" w:fill="FFFFFF"/>
        </w:rPr>
        <w:t xml:space="preserve"> not work for these police misconduct cases.</w:t>
      </w:r>
      <w:r w:rsidR="006A559C" w:rsidRPr="006A612F">
        <w:rPr>
          <w:shd w:val="clear" w:color="auto" w:fill="FFFFFF"/>
        </w:rPr>
        <w:t xml:space="preserve"> </w:t>
      </w:r>
      <w:r w:rsidRPr="006A612F">
        <w:rPr>
          <w:shd w:val="clear" w:color="auto" w:fill="FFFFFF"/>
        </w:rPr>
        <w:t>Joint tort liability in its traditional form is a poor fit because the defendants are not necessarily joint tortfeasors.</w:t>
      </w:r>
      <w:r w:rsidR="006A559C" w:rsidRPr="006A612F">
        <w:rPr>
          <w:shd w:val="clear" w:color="auto" w:fill="FFFFFF"/>
        </w:rPr>
        <w:t xml:space="preserve"> </w:t>
      </w:r>
      <w:r w:rsidRPr="006A612F">
        <w:rPr>
          <w:shd w:val="clear" w:color="auto" w:fill="FFFFFF"/>
        </w:rPr>
        <w:t xml:space="preserve">As detailed in </w:t>
      </w:r>
      <w:r w:rsidR="000D3C10" w:rsidRPr="006A612F">
        <w:rPr>
          <w:shd w:val="clear" w:color="auto" w:fill="FFFFFF"/>
        </w:rPr>
        <w:t xml:space="preserve">subpart </w:t>
      </w:r>
      <w:r w:rsidRPr="006A612F">
        <w:rPr>
          <w:shd w:val="clear" w:color="auto" w:fill="FFFFFF"/>
        </w:rPr>
        <w:t>III</w:t>
      </w:r>
      <w:r w:rsidR="000D3C10" w:rsidRPr="006A612F">
        <w:rPr>
          <w:shd w:val="clear" w:color="auto" w:fill="FFFFFF"/>
        </w:rPr>
        <w:t>(</w:t>
      </w:r>
      <w:r w:rsidRPr="006A612F">
        <w:rPr>
          <w:shd w:val="clear" w:color="auto" w:fill="FFFFFF"/>
        </w:rPr>
        <w:t>A</w:t>
      </w:r>
      <w:r w:rsidR="000D3C10" w:rsidRPr="006A612F">
        <w:rPr>
          <w:shd w:val="clear" w:color="auto" w:fill="FFFFFF"/>
        </w:rPr>
        <w:t>)</w:t>
      </w:r>
      <w:r w:rsidRPr="006A612F">
        <w:rPr>
          <w:shd w:val="clear" w:color="auto" w:fill="FFFFFF"/>
        </w:rPr>
        <w:t>, not every defendant has breached the constitution</w:t>
      </w:r>
      <w:r w:rsidR="00C6224D" w:rsidRPr="006A612F">
        <w:rPr>
          <w:shd w:val="clear" w:color="auto" w:fill="FFFFFF"/>
        </w:rPr>
        <w:t>—</w:t>
      </w:r>
      <w:r w:rsidRPr="006A612F">
        <w:rPr>
          <w:shd w:val="clear" w:color="auto" w:fill="FFFFFF"/>
        </w:rPr>
        <w:t>some are liable for their inaction rather</w:t>
      </w:r>
      <w:r w:rsidRPr="006A612F">
        <w:t xml:space="preserve"> than their</w:t>
      </w:r>
      <w:r w:rsidRPr="006A612F">
        <w:rPr>
          <w:shd w:val="clear" w:color="auto" w:fill="FFFFFF"/>
        </w:rPr>
        <w:t xml:space="preserve"> action.</w:t>
      </w:r>
      <w:r w:rsidR="006A559C" w:rsidRPr="006A612F">
        <w:rPr>
          <w:shd w:val="clear" w:color="auto" w:fill="FFFFFF"/>
        </w:rPr>
        <w:t xml:space="preserve"> </w:t>
      </w:r>
      <w:r w:rsidRPr="006A612F">
        <w:rPr>
          <w:shd w:val="clear" w:color="auto" w:fill="FFFFFF"/>
        </w:rPr>
        <w:t>Equally problematic, res ipsa loquitur, in its narrow form, does not work because these police misconduct cases involve multiple defendants who are not bound by vicarious liability or some other special relationship.</w:t>
      </w:r>
    </w:p>
    <w:p w14:paraId="7B835DF5" w14:textId="778BCD1F" w:rsidR="00F70B74" w:rsidRPr="006A612F" w:rsidRDefault="00F70B74" w:rsidP="00AA6ED0">
      <w:pPr>
        <w:pStyle w:val="SubHead2"/>
        <w:spacing w:line="240" w:lineRule="auto"/>
        <w:rPr>
          <w:shd w:val="clear" w:color="auto" w:fill="FFFFFF"/>
        </w:rPr>
      </w:pPr>
      <w:r w:rsidRPr="006A612F">
        <w:rPr>
          <w:shd w:val="clear" w:color="auto" w:fill="FFFFFF"/>
        </w:rPr>
        <w:lastRenderedPageBreak/>
        <w:t>D.</w:t>
      </w:r>
      <w:r w:rsidR="00166D0D" w:rsidRPr="006A612F">
        <w:rPr>
          <w:shd w:val="clear" w:color="auto" w:fill="FFFFFF"/>
        </w:rPr>
        <w:tab/>
      </w:r>
      <w:r w:rsidRPr="006A612F">
        <w:rPr>
          <w:shd w:val="clear" w:color="auto" w:fill="FFFFFF"/>
        </w:rPr>
        <w:t>The Evolution of Res Ipsa Loquitur</w:t>
      </w:r>
    </w:p>
    <w:p w14:paraId="79B87BA2" w14:textId="76E15DCA" w:rsidR="00F70B74" w:rsidRPr="006A612F" w:rsidRDefault="00F70B74" w:rsidP="00AA6ED0">
      <w:pPr>
        <w:pStyle w:val="Document"/>
        <w:spacing w:line="240" w:lineRule="auto"/>
      </w:pPr>
      <w:r w:rsidRPr="006A612F">
        <w:t>Res ipsa loquitur allows plaintiff</w:t>
      </w:r>
      <w:r w:rsidR="00276385" w:rsidRPr="006A612F">
        <w:t>s</w:t>
      </w:r>
      <w:r w:rsidRPr="006A612F">
        <w:t xml:space="preserve"> to establish a prima facie case without showing how, exactly, </w:t>
      </w:r>
      <w:r w:rsidR="00276385" w:rsidRPr="006A612F">
        <w:t>they were</w:t>
      </w:r>
      <w:r w:rsidRPr="006A612F">
        <w:t xml:space="preserve"> injured.</w:t>
      </w:r>
      <w:r w:rsidR="006A559C" w:rsidRPr="006A612F">
        <w:t xml:space="preserve"> </w:t>
      </w:r>
      <w:r w:rsidRPr="006A612F">
        <w:t xml:space="preserve">Once a plaintiff establishes each of the defendants </w:t>
      </w:r>
      <w:r w:rsidR="00A40F4C" w:rsidRPr="006A612F">
        <w:t xml:space="preserve">was </w:t>
      </w:r>
      <w:r w:rsidRPr="006A612F">
        <w:t>negligent, the burden shifts to the defendants to parse out questions of causation and damages.</w:t>
      </w:r>
      <w:r w:rsidRPr="006A612F">
        <w:rPr>
          <w:rStyle w:val="NoterefInText"/>
        </w:rPr>
        <w:footnoteReference w:id="259"/>
      </w:r>
      <w:r w:rsidR="006A559C" w:rsidRPr="006A612F">
        <w:t xml:space="preserve"> </w:t>
      </w:r>
      <w:r w:rsidRPr="006A612F">
        <w:t xml:space="preserve">As discussed in the previous </w:t>
      </w:r>
      <w:r w:rsidR="002F44D1" w:rsidRPr="006A612F">
        <w:t>subpart</w:t>
      </w:r>
      <w:r w:rsidRPr="006A612F">
        <w:t xml:space="preserve">, initially, </w:t>
      </w:r>
      <w:r w:rsidRPr="006A612F">
        <w:rPr>
          <w:iCs/>
        </w:rPr>
        <w:t>res ipsa loquitur</w:t>
      </w:r>
      <w:r w:rsidRPr="006A612F">
        <w:t xml:space="preserve"> only applied to multiple defendants in very limited circumstances.</w:t>
      </w:r>
    </w:p>
    <w:p w14:paraId="356BEAF7" w14:textId="1C33CA32" w:rsidR="00F70B74" w:rsidRPr="006A612F" w:rsidRDefault="00F70B74" w:rsidP="00AA6ED0">
      <w:pPr>
        <w:pStyle w:val="Document"/>
        <w:spacing w:line="240" w:lineRule="auto"/>
      </w:pPr>
      <w:r w:rsidRPr="006A612F">
        <w:t xml:space="preserve">In 1944, the California Supreme Court extended </w:t>
      </w:r>
      <w:r w:rsidRPr="006A612F">
        <w:rPr>
          <w:iCs/>
        </w:rPr>
        <w:t>res ipsa loquitur</w:t>
      </w:r>
      <w:r w:rsidRPr="006A612F">
        <w:t xml:space="preserve"> in </w:t>
      </w:r>
      <w:r w:rsidRPr="006A612F">
        <w:rPr>
          <w:i/>
          <w:iCs/>
        </w:rPr>
        <w:t>Ybarra v. Spangard.</w:t>
      </w:r>
      <w:r w:rsidR="00BF22C7" w:rsidRPr="006A612F">
        <w:rPr>
          <w:rStyle w:val="NoterefInText"/>
        </w:rPr>
        <w:footnoteReference w:id="260"/>
      </w:r>
      <w:r w:rsidRPr="006A612F">
        <w:rPr>
          <w:i/>
          <w:iCs/>
        </w:rPr>
        <w:t xml:space="preserve"> </w:t>
      </w:r>
      <w:r w:rsidRPr="006A612F">
        <w:t xml:space="preserve">In </w:t>
      </w:r>
      <w:r w:rsidRPr="006A612F">
        <w:rPr>
          <w:i/>
          <w:iCs/>
        </w:rPr>
        <w:t>Ybarra</w:t>
      </w:r>
      <w:r w:rsidRPr="006A612F">
        <w:t>, the plaintiff went into the hospital for an appendectomy but left surgery with a sharp pain in his right shoulder.</w:t>
      </w:r>
      <w:r w:rsidR="006A559C" w:rsidRPr="006A612F">
        <w:t xml:space="preserve"> </w:t>
      </w:r>
      <w:r w:rsidRPr="006A612F">
        <w:t xml:space="preserve">He argued that this </w:t>
      </w:r>
      <w:r w:rsidR="00BF278E" w:rsidRPr="006A612F">
        <w:t>“</w:t>
      </w:r>
      <w:r w:rsidRPr="006A612F">
        <w:rPr>
          <w:shd w:val="clear" w:color="auto" w:fill="FFFFFF"/>
        </w:rPr>
        <w:t>present</w:t>
      </w:r>
      <w:r w:rsidR="004F0E54" w:rsidRPr="006A612F">
        <w:rPr>
          <w:shd w:val="clear" w:color="auto" w:fill="FFFFFF"/>
        </w:rPr>
        <w:t>[ed]</w:t>
      </w:r>
      <w:r w:rsidRPr="006A612F">
        <w:rPr>
          <w:shd w:val="clear" w:color="auto" w:fill="FFFFFF"/>
        </w:rPr>
        <w:t xml:space="preserve"> a proper case for the application of the doctrine of </w:t>
      </w:r>
      <w:r w:rsidRPr="006A612F">
        <w:rPr>
          <w:iCs/>
          <w:shd w:val="clear" w:color="auto" w:fill="FFFFFF"/>
        </w:rPr>
        <w:t>res ipsa loquitur</w:t>
      </w:r>
      <w:r w:rsidR="00BF278E" w:rsidRPr="006A612F">
        <w:rPr>
          <w:shd w:val="clear" w:color="auto" w:fill="FFFFFF"/>
        </w:rPr>
        <w:t>”</w:t>
      </w:r>
      <w:r w:rsidRPr="006A612F">
        <w:rPr>
          <w:shd w:val="clear" w:color="auto" w:fill="FFFFFF"/>
        </w:rPr>
        <w:t xml:space="preserve"> and sued multiple defendants involved in his care.</w:t>
      </w:r>
      <w:r w:rsidRPr="006A612F">
        <w:rPr>
          <w:rStyle w:val="NoterefInText"/>
        </w:rPr>
        <w:footnoteReference w:id="261"/>
      </w:r>
      <w:r w:rsidR="006A559C" w:rsidRPr="006A612F">
        <w:rPr>
          <w:shd w:val="clear" w:color="auto" w:fill="FFFFFF"/>
        </w:rPr>
        <w:t xml:space="preserve"> </w:t>
      </w:r>
      <w:r w:rsidRPr="006A612F">
        <w:rPr>
          <w:shd w:val="clear" w:color="auto" w:fill="FFFFFF"/>
        </w:rPr>
        <w:t xml:space="preserve">Defendants argued that even if he was injured in the hospital </w:t>
      </w:r>
      <w:r w:rsidR="00BF278E" w:rsidRPr="006A612F">
        <w:rPr>
          <w:shd w:val="clear" w:color="auto" w:fill="FFFFFF"/>
        </w:rPr>
        <w:t>“</w:t>
      </w:r>
      <w:r w:rsidRPr="006A612F">
        <w:rPr>
          <w:shd w:val="clear" w:color="auto" w:fill="FFFFFF"/>
        </w:rPr>
        <w:t xml:space="preserve">there </w:t>
      </w:r>
      <w:r w:rsidR="002D2B44" w:rsidRPr="006A612F">
        <w:rPr>
          <w:shd w:val="clear" w:color="auto" w:fill="FFFFFF"/>
        </w:rPr>
        <w:t xml:space="preserve">[was] </w:t>
      </w:r>
      <w:r w:rsidRPr="006A612F">
        <w:rPr>
          <w:shd w:val="clear" w:color="auto" w:fill="FFFFFF"/>
        </w:rPr>
        <w:t>no showing that the act of any particular defendant, nor any particular instrumentality, was the cause thereof.</w:t>
      </w:r>
      <w:r w:rsidR="00BF278E" w:rsidRPr="006A612F">
        <w:rPr>
          <w:shd w:val="clear" w:color="auto" w:fill="FFFFFF"/>
        </w:rPr>
        <w:t>”</w:t>
      </w:r>
      <w:r w:rsidRPr="006A612F">
        <w:rPr>
          <w:rStyle w:val="NoterefInText"/>
        </w:rPr>
        <w:footnoteReference w:id="262"/>
      </w:r>
      <w:r w:rsidR="006A559C" w:rsidRPr="006A612F">
        <w:rPr>
          <w:shd w:val="clear" w:color="auto" w:fill="FFFFFF"/>
        </w:rPr>
        <w:t xml:space="preserve"> </w:t>
      </w:r>
      <w:r w:rsidRPr="006A612F">
        <w:rPr>
          <w:shd w:val="clear" w:color="auto" w:fill="FFFFFF"/>
        </w:rPr>
        <w:t xml:space="preserve">The court concluded that </w:t>
      </w:r>
      <w:r w:rsidRPr="006A612F">
        <w:rPr>
          <w:iCs/>
          <w:shd w:val="clear" w:color="auto" w:fill="FFFFFF"/>
        </w:rPr>
        <w:t>res ips</w:t>
      </w:r>
      <w:r w:rsidRPr="006A612F">
        <w:rPr>
          <w:iCs/>
        </w:rPr>
        <w:t>a</w:t>
      </w:r>
      <w:r w:rsidRPr="006A612F">
        <w:rPr>
          <w:iCs/>
          <w:shd w:val="clear" w:color="auto" w:fill="FFFFFF"/>
        </w:rPr>
        <w:t xml:space="preserve"> loquitur</w:t>
      </w:r>
      <w:r w:rsidRPr="006A612F">
        <w:rPr>
          <w:shd w:val="clear" w:color="auto" w:fill="FFFFFF"/>
        </w:rPr>
        <w:t xml:space="preserve"> was applicable in this case and offered the following reasoning:</w:t>
      </w:r>
    </w:p>
    <w:p w14:paraId="0821DBFA" w14:textId="387A7BB2" w:rsidR="00F70B74" w:rsidRPr="006A612F" w:rsidRDefault="00F70B74" w:rsidP="00AA6ED0">
      <w:pPr>
        <w:pStyle w:val="1StQuoteTXT"/>
        <w:spacing w:line="240" w:lineRule="auto"/>
      </w:pPr>
      <w:r w:rsidRPr="006A612F">
        <w:t>The present case is of a type which comes within the reason and spirit of the doctrine more fully perhaps than any other</w:t>
      </w:r>
      <w:r w:rsidR="00BF278E" w:rsidRPr="006A612F">
        <w:t>. . . .</w:t>
      </w:r>
      <w:r w:rsidR="000D2D6E" w:rsidRPr="006A612F">
        <w:t xml:space="preserve"> </w:t>
      </w:r>
      <w:r w:rsidRPr="006A612F">
        <w:t>[I]t is difficult to see how the doctrine can, with any justification, be so restricted in its statement as to become inapplicable to a patient who submits himself to the care and custody of doctors and nurses, is rendered unconscious, and receives some injury from instrumentalities used in his treatment. Without the aid of the doctrine a patient who received permanent injuries of a serious character, obviously the result of some one</w:t>
      </w:r>
      <w:r w:rsidR="00BF278E" w:rsidRPr="006A612F">
        <w:t>’</w:t>
      </w:r>
      <w:r w:rsidRPr="006A612F">
        <w:t>s negligence, would be entirely unable to recover unless the doctors and nurses in attendance voluntarily chose to disclose the identity of the negligent person and the facts establishing liability.</w:t>
      </w:r>
      <w:r w:rsidR="005C5398" w:rsidRPr="006A612F">
        <w:rPr>
          <w:rStyle w:val="NoterefInText"/>
        </w:rPr>
        <w:footnoteReference w:id="263"/>
      </w:r>
    </w:p>
    <w:p w14:paraId="1600BBEC" w14:textId="2D5CDA36" w:rsidR="00F70B74" w:rsidRPr="006A612F" w:rsidRDefault="00F70B74" w:rsidP="00AA6ED0">
      <w:pPr>
        <w:pStyle w:val="Document"/>
        <w:spacing w:line="240" w:lineRule="auto"/>
      </w:pPr>
      <w:r w:rsidRPr="006A612F">
        <w:rPr>
          <w:i/>
          <w:iCs/>
        </w:rPr>
        <w:t>Ybarra</w:t>
      </w:r>
      <w:r w:rsidRPr="006A612F">
        <w:t xml:space="preserve"> illustrates how the doctrine has evolved beyond the single</w:t>
      </w:r>
      <w:r w:rsidR="00A57D8E" w:rsidRPr="006A612F">
        <w:t>-</w:t>
      </w:r>
      <w:r w:rsidRPr="006A612F">
        <w:t>defendant case. The defendants argued, in essence, that they could not all be at fault and, accordingly, should not all be held liable.</w:t>
      </w:r>
      <w:r w:rsidRPr="006A612F">
        <w:rPr>
          <w:rStyle w:val="NoterefInText"/>
        </w:rPr>
        <w:footnoteReference w:id="264"/>
      </w:r>
      <w:r w:rsidR="006A559C" w:rsidRPr="006A612F">
        <w:t xml:space="preserve"> </w:t>
      </w:r>
      <w:r w:rsidRPr="006A612F">
        <w:t xml:space="preserve">The court rejected this argument, holding that </w:t>
      </w:r>
      <w:r w:rsidR="00BF278E" w:rsidRPr="006A612F">
        <w:t>“</w:t>
      </w:r>
      <w:r w:rsidRPr="006A612F">
        <w:t xml:space="preserve">all those defendants who had any control over </w:t>
      </w:r>
      <w:r w:rsidRPr="006A612F">
        <w:lastRenderedPageBreak/>
        <w:t>his body or the instrumentalities which might have caused the injuries may properly be called upon to meet the inference of negligence by giving an explanation of their conduct.</w:t>
      </w:r>
      <w:r w:rsidR="00BF278E" w:rsidRPr="006A612F">
        <w:t>”</w:t>
      </w:r>
      <w:r w:rsidRPr="006A612F">
        <w:rPr>
          <w:rStyle w:val="NoterefInText"/>
        </w:rPr>
        <w:footnoteReference w:id="265"/>
      </w:r>
      <w:r w:rsidR="006A559C" w:rsidRPr="006A612F">
        <w:t xml:space="preserve"> </w:t>
      </w:r>
      <w:r w:rsidRPr="006A612F">
        <w:t xml:space="preserve">In effect, </w:t>
      </w:r>
      <w:r w:rsidRPr="006A612F">
        <w:rPr>
          <w:i/>
        </w:rPr>
        <w:t xml:space="preserve">Ybarra </w:t>
      </w:r>
      <w:r w:rsidRPr="006A612F">
        <w:t xml:space="preserve">combines theories of </w:t>
      </w:r>
      <w:r w:rsidRPr="006A612F">
        <w:rPr>
          <w:iCs/>
        </w:rPr>
        <w:t xml:space="preserve">res ipsa loquitur </w:t>
      </w:r>
      <w:r w:rsidRPr="006A612F">
        <w:t>and joint liability to hold several actors liable when the plaintiff</w:t>
      </w:r>
      <w:r w:rsidR="00BF278E" w:rsidRPr="006A612F">
        <w:t>’</w:t>
      </w:r>
      <w:r w:rsidRPr="006A612F">
        <w:t>s case relied entirely on circumstantial evidence of negligence and causation.</w:t>
      </w:r>
      <w:r w:rsidRPr="006A612F">
        <w:rPr>
          <w:rStyle w:val="NoterefInText"/>
        </w:rPr>
        <w:footnoteReference w:id="266"/>
      </w:r>
      <w:r w:rsidRPr="006A612F">
        <w:t xml:space="preserve"> While most courts have refused to follow </w:t>
      </w:r>
      <w:r w:rsidRPr="006A612F">
        <w:rPr>
          <w:i/>
          <w:iCs/>
        </w:rPr>
        <w:t>Ybarra</w:t>
      </w:r>
      <w:r w:rsidRPr="006A612F">
        <w:t>,</w:t>
      </w:r>
      <w:r w:rsidRPr="006A612F">
        <w:rPr>
          <w:rStyle w:val="NoterefInText"/>
        </w:rPr>
        <w:footnoteReference w:id="267"/>
      </w:r>
      <w:r w:rsidRPr="006A612F">
        <w:t xml:space="preserve"> the case importantly illustrates how the two doctrines</w:t>
      </w:r>
      <w:r w:rsidR="006A559C" w:rsidRPr="006A612F">
        <w:t xml:space="preserve"> </w:t>
      </w:r>
      <w:r w:rsidRPr="006A612F">
        <w:t>can merge. As the Law of Torts explains:</w:t>
      </w:r>
    </w:p>
    <w:p w14:paraId="353605C1" w14:textId="4354D405" w:rsidR="00F70B74" w:rsidRPr="006A612F" w:rsidRDefault="00F70B74" w:rsidP="00AA6ED0">
      <w:pPr>
        <w:pStyle w:val="1StQuoteTXT"/>
        <w:spacing w:line="240" w:lineRule="auto"/>
        <w:rPr>
          <w:shd w:val="clear" w:color="auto" w:fill="FFFFFF"/>
        </w:rPr>
      </w:pPr>
      <w:r w:rsidRPr="006A612F">
        <w:rPr>
          <w:shd w:val="clear" w:color="auto" w:fill="FFFFFF"/>
        </w:rPr>
        <w:t xml:space="preserve">In some of the multiple actor cases, courts have not only dropped the exclusive control requirement but have sometimes imposed liability upon defendants who are not likely to have been the wrongdoers. In doing so, they have sometimes said that joint control of those in a group is enough to make all in the group liable for the negligence of some member whose identity is unknown, or that two or more defendants owed a </w:t>
      </w:r>
      <w:r w:rsidR="00BF278E" w:rsidRPr="006A612F">
        <w:rPr>
          <w:shd w:val="clear" w:color="auto" w:fill="FFFFFF"/>
        </w:rPr>
        <w:t>“</w:t>
      </w:r>
      <w:r w:rsidRPr="006A612F">
        <w:rPr>
          <w:shd w:val="clear" w:color="auto" w:fill="FFFFFF"/>
        </w:rPr>
        <w:t>joint duty</w:t>
      </w:r>
      <w:r w:rsidR="00BF278E" w:rsidRPr="006A612F">
        <w:rPr>
          <w:shd w:val="clear" w:color="auto" w:fill="FFFFFF"/>
        </w:rPr>
        <w:t>”</w:t>
      </w:r>
      <w:r w:rsidRPr="006A612F">
        <w:rPr>
          <w:shd w:val="clear" w:color="auto" w:fill="FFFFFF"/>
        </w:rPr>
        <w:t xml:space="preserve"> to the plaintiff.</w:t>
      </w:r>
      <w:r w:rsidRPr="006A612F">
        <w:rPr>
          <w:rStyle w:val="NoterefInText"/>
        </w:rPr>
        <w:footnoteReference w:id="268"/>
      </w:r>
    </w:p>
    <w:p w14:paraId="74879FB7" w14:textId="77777777" w:rsidR="00F70B74" w:rsidRPr="006A612F" w:rsidRDefault="00F70B74" w:rsidP="00AA6ED0">
      <w:pPr>
        <w:pStyle w:val="Document"/>
        <w:spacing w:line="240" w:lineRule="auto"/>
      </w:pPr>
      <w:r w:rsidRPr="006A612F">
        <w:t>Res ipsa loquitur has evolved to impose liability on multiple defendants when one, but not all, defendants were the direct cause of the injury.</w:t>
      </w:r>
    </w:p>
    <w:p w14:paraId="1207312F" w14:textId="30ABC5D5" w:rsidR="00F70B74" w:rsidRPr="006A612F" w:rsidRDefault="00F70B74" w:rsidP="00AA6ED0">
      <w:pPr>
        <w:pStyle w:val="SubHead2"/>
        <w:spacing w:line="240" w:lineRule="auto"/>
        <w:rPr>
          <w:rStyle w:val="SubHead3-Italic"/>
        </w:rPr>
      </w:pPr>
      <w:r w:rsidRPr="006A612F">
        <w:rPr>
          <w:rStyle w:val="SubHead3-Italic"/>
          <w:i/>
          <w:iCs/>
        </w:rPr>
        <w:t>E.</w:t>
      </w:r>
      <w:r w:rsidR="00166D0D" w:rsidRPr="006A612F">
        <w:rPr>
          <w:rStyle w:val="SubHead3-Italic"/>
          <w:i/>
          <w:iCs/>
        </w:rPr>
        <w:tab/>
      </w:r>
      <w:r w:rsidRPr="006A612F">
        <w:rPr>
          <w:rStyle w:val="SubHead3-Italic"/>
        </w:rPr>
        <w:t>Causa Per Se</w:t>
      </w:r>
    </w:p>
    <w:p w14:paraId="38F69BBC" w14:textId="5E450637" w:rsidR="00F70B74" w:rsidRPr="006A612F" w:rsidRDefault="00F70B74" w:rsidP="00AA6ED0">
      <w:pPr>
        <w:pStyle w:val="Document"/>
        <w:spacing w:line="240" w:lineRule="auto"/>
        <w:rPr>
          <w:i/>
          <w:iCs/>
        </w:rPr>
      </w:pPr>
      <w:r w:rsidRPr="006A612F">
        <w:t xml:space="preserve">Typically, when torts plaintiffs rely on </w:t>
      </w:r>
      <w:r w:rsidRPr="006A612F">
        <w:rPr>
          <w:iCs/>
        </w:rPr>
        <w:t>res ipsa loquitur</w:t>
      </w:r>
      <w:r w:rsidR="006F26D2" w:rsidRPr="006A612F">
        <w:t>,</w:t>
      </w:r>
      <w:r w:rsidRPr="006A612F">
        <w:t xml:space="preserve"> it is because they have an evidentiary problem: they know they have been injured</w:t>
      </w:r>
      <w:r w:rsidR="00EA1403" w:rsidRPr="006A612F">
        <w:t>;</w:t>
      </w:r>
      <w:r w:rsidRPr="006A612F">
        <w:t xml:space="preserve"> they are certain the injury was caused by someone</w:t>
      </w:r>
      <w:r w:rsidR="00BF278E" w:rsidRPr="006A612F">
        <w:t>’</w:t>
      </w:r>
      <w:r w:rsidRPr="006A612F">
        <w:t>s negligence</w:t>
      </w:r>
      <w:r w:rsidR="005F685F" w:rsidRPr="006A612F">
        <w:t xml:space="preserve">, </w:t>
      </w:r>
      <w:r w:rsidRPr="006A612F">
        <w:t>but they cannot offer specific details about that negligence, and they may be uncertain about whom amongst several defendants caused the injury.</w:t>
      </w:r>
      <w:r w:rsidR="006A559C" w:rsidRPr="006A612F">
        <w:t xml:space="preserve"> </w:t>
      </w:r>
      <w:r w:rsidRPr="006A612F">
        <w:t xml:space="preserve">Similarly, victims of police excessive force know that there was </w:t>
      </w:r>
      <w:r w:rsidR="00DF442A" w:rsidRPr="006A612F">
        <w:t xml:space="preserve">a </w:t>
      </w:r>
      <w:r w:rsidRPr="006A612F">
        <w:t>constitutional violation, but they cannot offer specific details about the police misconduct, and they are unable to specify who</w:t>
      </w:r>
      <w:r w:rsidR="00367132" w:rsidRPr="006A612F">
        <w:t>m</w:t>
      </w:r>
      <w:r w:rsidRPr="006A612F">
        <w:t xml:space="preserve"> among the officers present deprived them of their constitutional right and who failed to intervene to stop the deprivation.</w:t>
      </w:r>
      <w:r w:rsidR="006A559C" w:rsidRPr="006A612F">
        <w:t xml:space="preserve"> </w:t>
      </w:r>
    </w:p>
    <w:p w14:paraId="67C155F5" w14:textId="094C3F08" w:rsidR="00F70B74" w:rsidRPr="006A612F" w:rsidRDefault="00F70B74" w:rsidP="00AA6ED0">
      <w:pPr>
        <w:pStyle w:val="Document"/>
        <w:spacing w:line="240" w:lineRule="auto"/>
      </w:pPr>
      <w:r w:rsidRPr="006A612F">
        <w:rPr>
          <w:i/>
          <w:iCs/>
        </w:rPr>
        <w:t>Ybarra</w:t>
      </w:r>
      <w:r w:rsidR="00BF278E" w:rsidRPr="006A612F">
        <w:rPr>
          <w:iCs/>
        </w:rPr>
        <w:t>’</w:t>
      </w:r>
      <w:r w:rsidRPr="006A612F">
        <w:rPr>
          <w:iCs/>
        </w:rPr>
        <w:t>s</w:t>
      </w:r>
      <w:r w:rsidRPr="006A612F">
        <w:t xml:space="preserve"> expanded version of res ipsa loquitur seems to offer the § 1983 plaintiffs discussed herein a viable path to liability. There are clear similarities between tort plaintiffs who rely on res ipsa loquitur and § 1983 plaintiffs who are unable to prove who amongst a group of government </w:t>
      </w:r>
      <w:r w:rsidRPr="006A612F">
        <w:lastRenderedPageBreak/>
        <w:t>officials caused them to be deprived of a constitutional right.</w:t>
      </w:r>
      <w:r w:rsidR="006A559C" w:rsidRPr="006A612F">
        <w:t xml:space="preserve"> </w:t>
      </w:r>
      <w:r w:rsidRPr="006A612F">
        <w:t>Nevertheless, courts largely have refused to apply expanded res ipsa loquitur theories into § 1983 litigation.</w:t>
      </w:r>
      <w:r w:rsidRPr="006A612F">
        <w:rPr>
          <w:rStyle w:val="NoterefInText"/>
        </w:rPr>
        <w:footnoteReference w:id="269"/>
      </w:r>
      <w:r w:rsidRPr="006A612F">
        <w:t xml:space="preserve"> Some have reasoned that res ipsa loquitur only applies in cases alleging negligence and that most constitutional torts require higher levels of mens rea.</w:t>
      </w:r>
      <w:r w:rsidRPr="006A612F">
        <w:rPr>
          <w:rStyle w:val="NoterefInText"/>
        </w:rPr>
        <w:footnoteReference w:id="270"/>
      </w:r>
      <w:r w:rsidR="006A559C" w:rsidRPr="006A612F">
        <w:t xml:space="preserve"> </w:t>
      </w:r>
      <w:r w:rsidRPr="006A612F">
        <w:t>Others have held that it is only appropriate if the plaintiff sues every person who may have been responsible for the injury.</w:t>
      </w:r>
      <w:r w:rsidRPr="006A612F">
        <w:rPr>
          <w:rStyle w:val="NoterefInText"/>
        </w:rPr>
        <w:footnoteReference w:id="271"/>
      </w:r>
      <w:r w:rsidR="006A559C" w:rsidRPr="006A612F">
        <w:t xml:space="preserve"> </w:t>
      </w:r>
    </w:p>
    <w:p w14:paraId="7F0B8FF6" w14:textId="003E668A" w:rsidR="00F70B74" w:rsidRPr="006A612F" w:rsidRDefault="00F70B74" w:rsidP="00AA6ED0">
      <w:pPr>
        <w:pStyle w:val="Document"/>
        <w:spacing w:line="240" w:lineRule="auto"/>
      </w:pPr>
      <w:r w:rsidRPr="006A612F">
        <w:t xml:space="preserve">As the previous two </w:t>
      </w:r>
      <w:r w:rsidR="00B22A19" w:rsidRPr="006A612F">
        <w:t xml:space="preserve">subparts </w:t>
      </w:r>
      <w:r w:rsidRPr="006A612F">
        <w:t>observe, there are real differences between torts liability and liability under §</w:t>
      </w:r>
      <w:r w:rsidR="00D94638" w:rsidRPr="006A612F">
        <w:t> </w:t>
      </w:r>
      <w:r w:rsidRPr="006A612F">
        <w:t>1983</w:t>
      </w:r>
      <w:r w:rsidR="0054137F" w:rsidRPr="006A612F">
        <w:t>,</w:t>
      </w:r>
      <w:r w:rsidRPr="006A612F">
        <w:t xml:space="preserve"> and neither </w:t>
      </w:r>
      <w:r w:rsidRPr="006A612F">
        <w:rPr>
          <w:iCs/>
        </w:rPr>
        <w:t>res ipsa loquitur</w:t>
      </w:r>
      <w:r w:rsidRPr="006A612F">
        <w:t xml:space="preserve"> nor joint tort liability, at least in their traditional forms</w:t>
      </w:r>
      <w:r w:rsidR="00C61C1E" w:rsidRPr="006A612F">
        <w:t>,</w:t>
      </w:r>
      <w:r w:rsidRPr="006A612F">
        <w:t xml:space="preserve"> should apply in §</w:t>
      </w:r>
      <w:r w:rsidR="00A93A9E" w:rsidRPr="006A612F">
        <w:t> </w:t>
      </w:r>
      <w:r w:rsidRPr="006A612F">
        <w:t>1983 litigation.</w:t>
      </w:r>
      <w:r w:rsidR="006A559C" w:rsidRPr="006A612F">
        <w:t xml:space="preserve"> </w:t>
      </w:r>
      <w:r w:rsidRPr="006A612F">
        <w:rPr>
          <w:shd w:val="clear" w:color="auto" w:fill="FFFFFF"/>
        </w:rPr>
        <w:t>Interestingly, at least in some respects, many §</w:t>
      </w:r>
      <w:r w:rsidR="00A93A9E" w:rsidRPr="006A612F">
        <w:rPr>
          <w:shd w:val="clear" w:color="auto" w:fill="FFFFFF"/>
        </w:rPr>
        <w:t> </w:t>
      </w:r>
      <w:r w:rsidRPr="006A612F">
        <w:rPr>
          <w:shd w:val="clear" w:color="auto" w:fill="FFFFFF"/>
        </w:rPr>
        <w:t>1983 plaintiffs who are suing multiple officers for excessive force are better positioned than tort plaintiffs who are relying on</w:t>
      </w:r>
      <w:r w:rsidR="006A559C" w:rsidRPr="006A612F">
        <w:rPr>
          <w:shd w:val="clear" w:color="auto" w:fill="FFFFFF"/>
        </w:rPr>
        <w:t xml:space="preserve"> </w:t>
      </w:r>
      <w:r w:rsidRPr="006A612F">
        <w:rPr>
          <w:iCs/>
        </w:rPr>
        <w:t>res ipsa loquitur</w:t>
      </w:r>
      <w:r w:rsidR="006A559C" w:rsidRPr="006A612F">
        <w:rPr>
          <w:shd w:val="clear" w:color="auto" w:fill="FFFFFF"/>
        </w:rPr>
        <w:t xml:space="preserve"> </w:t>
      </w:r>
      <w:r w:rsidRPr="006A612F">
        <w:rPr>
          <w:shd w:val="clear" w:color="auto" w:fill="FFFFFF"/>
        </w:rPr>
        <w:t>or joint tort theories of liability.</w:t>
      </w:r>
      <w:r w:rsidR="006A559C" w:rsidRPr="006A612F">
        <w:rPr>
          <w:shd w:val="clear" w:color="auto" w:fill="FFFFFF"/>
        </w:rPr>
        <w:t xml:space="preserve"> </w:t>
      </w:r>
      <w:r w:rsidRPr="006A612F">
        <w:rPr>
          <w:shd w:val="clear" w:color="auto" w:fill="FFFFFF"/>
        </w:rPr>
        <w:t xml:space="preserve">Tort plaintiffs often use </w:t>
      </w:r>
      <w:r w:rsidRPr="006A612F">
        <w:rPr>
          <w:iCs/>
          <w:shd w:val="clear" w:color="auto" w:fill="FFFFFF"/>
        </w:rPr>
        <w:t>res ipsa</w:t>
      </w:r>
      <w:r w:rsidRPr="006A612F">
        <w:rPr>
          <w:shd w:val="clear" w:color="auto" w:fill="FFFFFF"/>
        </w:rPr>
        <w:t xml:space="preserve"> to establish both negligence and causation.</w:t>
      </w:r>
      <w:r w:rsidRPr="006A612F">
        <w:rPr>
          <w:rStyle w:val="NoterefInText"/>
        </w:rPr>
        <w:footnoteReference w:id="272"/>
      </w:r>
      <w:r w:rsidRPr="006A612F">
        <w:t xml:space="preserve"> In § 1983 </w:t>
      </w:r>
      <w:r w:rsidR="00BF278E" w:rsidRPr="006A612F">
        <w:t>“</w:t>
      </w:r>
      <w:r w:rsidRPr="006A612F">
        <w:t>personal responsibility</w:t>
      </w:r>
      <w:r w:rsidR="00BF278E" w:rsidRPr="006A612F">
        <w:t>”</w:t>
      </w:r>
      <w:r w:rsidRPr="006A612F">
        <w:t xml:space="preserve"> cases</w:t>
      </w:r>
      <w:r w:rsidR="00512E29" w:rsidRPr="006A612F">
        <w:t>,</w:t>
      </w:r>
      <w:r w:rsidRPr="006A612F">
        <w:t xml:space="preserve"> there is often no dispute that there was a constitutional violation</w:t>
      </w:r>
      <w:r w:rsidR="000D7C49" w:rsidRPr="006A612F">
        <w:t>—</w:t>
      </w:r>
      <w:r w:rsidRPr="006A612F">
        <w:t>the focus is mostly, if not entirely, on the question of causation.</w:t>
      </w:r>
      <w:r w:rsidR="006A559C" w:rsidRPr="006A612F">
        <w:t xml:space="preserve"> </w:t>
      </w:r>
      <w:r w:rsidRPr="006A612F">
        <w:t>In short, tort res ipsa loquitur plaintiffs have more to prove than § 1983 plaintiffs.</w:t>
      </w:r>
      <w:r w:rsidR="006A559C" w:rsidRPr="006A612F">
        <w:t xml:space="preserve"> </w:t>
      </w:r>
    </w:p>
    <w:p w14:paraId="799EC926" w14:textId="6E034435" w:rsidR="00F70B74" w:rsidRPr="006A612F" w:rsidRDefault="00F70B74" w:rsidP="00AA6ED0">
      <w:pPr>
        <w:pStyle w:val="Document"/>
        <w:spacing w:line="240" w:lineRule="auto"/>
      </w:pPr>
      <w:r w:rsidRPr="006A612F">
        <w:t>Instead of trying to shoehorn §</w:t>
      </w:r>
      <w:r w:rsidR="000B1D04" w:rsidRPr="006A612F">
        <w:t> </w:t>
      </w:r>
      <w:r w:rsidRPr="006A612F">
        <w:t>1983 cases into res ipsa loquitur</w:t>
      </w:r>
      <w:r w:rsidR="00BF278E" w:rsidRPr="006A612F">
        <w:t>’</w:t>
      </w:r>
      <w:r w:rsidRPr="006A612F">
        <w:t>s framework, I propose creating a new rule</w:t>
      </w:r>
      <w:r w:rsidR="00F61BD7" w:rsidRPr="006A612F">
        <w:t>—</w:t>
      </w:r>
      <w:r w:rsidRPr="006A612F">
        <w:rPr>
          <w:i/>
          <w:iCs/>
        </w:rPr>
        <w:t>causa per se</w:t>
      </w:r>
      <w:r w:rsidR="00F61BD7" w:rsidRPr="006A612F">
        <w:t>—</w:t>
      </w:r>
      <w:r w:rsidRPr="006A612F">
        <w:t>to establish causation in §</w:t>
      </w:r>
      <w:r w:rsidR="003D43E6" w:rsidRPr="006A612F">
        <w:t> </w:t>
      </w:r>
      <w:r w:rsidRPr="006A612F">
        <w:t>1983 cases involving multiple defendants.</w:t>
      </w:r>
      <w:r w:rsidR="006A559C" w:rsidRPr="006A612F">
        <w:t xml:space="preserve"> </w:t>
      </w:r>
      <w:r w:rsidRPr="006A612F">
        <w:t xml:space="preserve">This theory borrows </w:t>
      </w:r>
      <w:r w:rsidRPr="006A612F">
        <w:lastRenderedPageBreak/>
        <w:t xml:space="preserve">from theories of res ipsa loquitur and joint and several liability and, consequently, closely resembles </w:t>
      </w:r>
      <w:r w:rsidRPr="006A612F">
        <w:rPr>
          <w:i/>
          <w:iCs/>
        </w:rPr>
        <w:t>Ybarra</w:t>
      </w:r>
      <w:r w:rsidR="00BF278E" w:rsidRPr="006A612F">
        <w:t>’</w:t>
      </w:r>
      <w:r w:rsidRPr="006A612F">
        <w:t xml:space="preserve">s expanded version of </w:t>
      </w:r>
      <w:r w:rsidRPr="006A612F">
        <w:rPr>
          <w:iCs/>
        </w:rPr>
        <w:t>res ipsa.</w:t>
      </w:r>
    </w:p>
    <w:p w14:paraId="5B97AF83" w14:textId="7B354BD6" w:rsidR="00F70B74" w:rsidRPr="006A612F" w:rsidRDefault="00F70B74" w:rsidP="00AA6ED0">
      <w:pPr>
        <w:pStyle w:val="Document"/>
        <w:spacing w:line="240" w:lineRule="auto"/>
      </w:pPr>
      <w:r w:rsidRPr="006A612F">
        <w:t>Liability under § 1983 requires proof of causation.</w:t>
      </w:r>
      <w:r w:rsidR="006A559C" w:rsidRPr="006A612F">
        <w:t xml:space="preserve"> </w:t>
      </w:r>
      <w:r w:rsidRPr="006A612F">
        <w:t xml:space="preserve">Yet, procedural rules and police practices often make it difficult for plaintiffs </w:t>
      </w:r>
      <w:r w:rsidR="00DE3D89" w:rsidRPr="006A612F">
        <w:t xml:space="preserve">to </w:t>
      </w:r>
      <w:r w:rsidRPr="006A612F">
        <w:t>prove who caused their injuries.</w:t>
      </w:r>
      <w:r w:rsidR="006A559C" w:rsidRPr="006A612F">
        <w:t xml:space="preserve"> </w:t>
      </w:r>
      <w:r w:rsidRPr="006A612F">
        <w:t>As noted in Part I, police norms that encourage silence and inefficacious discovery rules make it difficult for plaintiffs to identify who injured them.</w:t>
      </w:r>
      <w:r w:rsidR="006A559C" w:rsidRPr="006A612F">
        <w:t xml:space="preserve"> </w:t>
      </w:r>
      <w:r w:rsidRPr="006A612F">
        <w:t>Yet, when a § 1983 plaintiff is able to offer evidence of a Fourth Amendment deprivation</w:t>
      </w:r>
      <w:r w:rsidR="009C28B9" w:rsidRPr="006A612F">
        <w:t>,</w:t>
      </w:r>
      <w:r w:rsidRPr="006A612F">
        <w:t xml:space="preserve"> courts should adopt a theory of </w:t>
      </w:r>
      <w:r w:rsidRPr="006A612F">
        <w:rPr>
          <w:i/>
          <w:iCs/>
        </w:rPr>
        <w:t>causa per se</w:t>
      </w:r>
      <w:r w:rsidRPr="006A612F">
        <w:t>.</w:t>
      </w:r>
      <w:r w:rsidR="006A559C" w:rsidRPr="006A612F">
        <w:t xml:space="preserve"> </w:t>
      </w:r>
      <w:r w:rsidRPr="006A612F">
        <w:t xml:space="preserve">That is, when a § 1983 plaintiff presents evidence of excessive force and proves that the defendant was present at the scene, the plaintiff has established </w:t>
      </w:r>
      <w:r w:rsidRPr="006A612F">
        <w:rPr>
          <w:i/>
          <w:iCs/>
        </w:rPr>
        <w:t>causa per se</w:t>
      </w:r>
      <w:r w:rsidRPr="006A612F">
        <w:t xml:space="preserve">, which translates from Latin to </w:t>
      </w:r>
      <w:r w:rsidR="00BF278E" w:rsidRPr="006A612F">
        <w:t>“</w:t>
      </w:r>
      <w:r w:rsidRPr="006A612F">
        <w:t>cause in itself.</w:t>
      </w:r>
      <w:r w:rsidR="00BF278E" w:rsidRPr="006A612F">
        <w:t>”</w:t>
      </w:r>
      <w:r w:rsidR="006A559C" w:rsidRPr="006A612F">
        <w:t xml:space="preserve"> </w:t>
      </w:r>
      <w:r w:rsidRPr="006A612F">
        <w:t>Under this theory, all defendants who are present during the constitutional violation are equally liable</w:t>
      </w:r>
      <w:r w:rsidR="006C137E" w:rsidRPr="006A612F">
        <w:t>,</w:t>
      </w:r>
      <w:r w:rsidRPr="006A612F">
        <w:t xml:space="preserve"> and the burden shifts to each individual defendant to prove that he or she did not cause the violation.</w:t>
      </w:r>
      <w:r w:rsidRPr="006A612F">
        <w:rPr>
          <w:rStyle w:val="NoterefInText"/>
        </w:rPr>
        <w:footnoteReference w:id="273"/>
      </w:r>
      <w:r w:rsidR="006A559C" w:rsidRPr="006A612F">
        <w:t xml:space="preserve"> </w:t>
      </w:r>
    </w:p>
    <w:p w14:paraId="65352667" w14:textId="01E3712C" w:rsidR="00F70B74" w:rsidRPr="006A612F" w:rsidRDefault="00F70B74" w:rsidP="00AA6ED0">
      <w:pPr>
        <w:pStyle w:val="Document"/>
        <w:spacing w:line="240" w:lineRule="auto"/>
      </w:pPr>
      <w:r w:rsidRPr="006A612F">
        <w:t>Insisting that a §</w:t>
      </w:r>
      <w:r w:rsidR="000B1D04" w:rsidRPr="006A612F">
        <w:t> </w:t>
      </w:r>
      <w:r w:rsidRPr="006A612F">
        <w:t xml:space="preserve">1983 plaintiff who is the victim of excessive force identify </w:t>
      </w:r>
      <w:r w:rsidR="00670B93" w:rsidRPr="006A612F">
        <w:t>the</w:t>
      </w:r>
      <w:r w:rsidRPr="006A612F">
        <w:t xml:space="preserve"> tortfeasor is like asking a plaintiff </w:t>
      </w:r>
      <w:r w:rsidR="00BF278E" w:rsidRPr="006A612F">
        <w:t>“</w:t>
      </w:r>
      <w:r w:rsidRPr="006A612F">
        <w:t>rendered unconscious for the purpose of undergoing surgical treatment by the defendants</w:t>
      </w:r>
      <w:r w:rsidR="00BF278E" w:rsidRPr="006A612F">
        <w:t>”</w:t>
      </w:r>
      <w:r w:rsidRPr="006A612F">
        <w:rPr>
          <w:rStyle w:val="NoterefInText"/>
        </w:rPr>
        <w:footnoteReference w:id="274"/>
      </w:r>
      <w:r w:rsidRPr="006A612F">
        <w:t xml:space="preserve"> to identify who </w:t>
      </w:r>
      <w:r w:rsidR="005A798D" w:rsidRPr="006A612F">
        <w:t>caused the plaintiff</w:t>
      </w:r>
      <w:r w:rsidR="00BF278E" w:rsidRPr="006A612F">
        <w:t>’</w:t>
      </w:r>
      <w:r w:rsidR="005A798D" w:rsidRPr="006A612F">
        <w:t>s injury</w:t>
      </w:r>
      <w:r w:rsidRPr="006A612F">
        <w:t>.</w:t>
      </w:r>
      <w:r w:rsidR="006A559C" w:rsidRPr="006A612F">
        <w:t xml:space="preserve"> </w:t>
      </w:r>
      <w:r w:rsidR="00BF278E" w:rsidRPr="006A612F">
        <w:t>“</w:t>
      </w:r>
      <w:r w:rsidR="00FF1B7D" w:rsidRPr="006A612F">
        <w:t>[</w:t>
      </w:r>
      <w:r w:rsidRPr="006A612F">
        <w:t>I</w:t>
      </w:r>
      <w:r w:rsidR="00FF1B7D" w:rsidRPr="006A612F">
        <w:t>]</w:t>
      </w:r>
      <w:r w:rsidRPr="006A612F">
        <w:t>t is manifestly unreasonable.</w:t>
      </w:r>
      <w:r w:rsidR="00BF278E" w:rsidRPr="006A612F">
        <w:t>”</w:t>
      </w:r>
      <w:r w:rsidRPr="006A612F">
        <w:rPr>
          <w:rStyle w:val="NoterefInText"/>
        </w:rPr>
        <w:footnoteReference w:id="275"/>
      </w:r>
      <w:r w:rsidR="006A559C" w:rsidRPr="006A612F">
        <w:t xml:space="preserve"> </w:t>
      </w:r>
      <w:r w:rsidR="00236A3B" w:rsidRPr="006A612F">
        <w:t xml:space="preserve">Both </w:t>
      </w:r>
      <w:r w:rsidRPr="006A612F">
        <w:t xml:space="preserve">the unconscious defendant </w:t>
      </w:r>
      <w:r w:rsidR="00236A3B" w:rsidRPr="006A612F">
        <w:t xml:space="preserve">and </w:t>
      </w:r>
      <w:r w:rsidRPr="006A612F">
        <w:t xml:space="preserve">the victim of police violence should </w:t>
      </w:r>
      <w:r w:rsidR="00236A3B" w:rsidRPr="006A612F">
        <w:t xml:space="preserve">not </w:t>
      </w:r>
      <w:r w:rsidRPr="006A612F">
        <w:t>be expected to know and identify who injured them.</w:t>
      </w:r>
      <w:r w:rsidRPr="006A612F">
        <w:rPr>
          <w:rStyle w:val="NoterefInText"/>
        </w:rPr>
        <w:footnoteReference w:id="276"/>
      </w:r>
      <w:r w:rsidR="006A559C" w:rsidRPr="006A612F">
        <w:t xml:space="preserve"> </w:t>
      </w:r>
      <w:r w:rsidRPr="006A612F">
        <w:t>Furthermore, plaintiffs are in this position because of the defendants</w:t>
      </w:r>
      <w:r w:rsidR="00BF278E" w:rsidRPr="006A612F">
        <w:t>’</w:t>
      </w:r>
      <w:r w:rsidRPr="006A612F">
        <w:t xml:space="preserve"> conduct.</w:t>
      </w:r>
      <w:r w:rsidR="006A559C" w:rsidRPr="006A612F">
        <w:t xml:space="preserve"> </w:t>
      </w:r>
      <w:r w:rsidRPr="006A612F">
        <w:rPr>
          <w:i/>
          <w:iCs/>
        </w:rPr>
        <w:t>Causa per se</w:t>
      </w:r>
      <w:r w:rsidRPr="006A612F">
        <w:t xml:space="preserve">, like </w:t>
      </w:r>
      <w:r w:rsidRPr="006A612F">
        <w:rPr>
          <w:iCs/>
        </w:rPr>
        <w:t>res ipsa</w:t>
      </w:r>
      <w:r w:rsidR="000B1D04" w:rsidRPr="006A612F">
        <w:rPr>
          <w:iCs/>
          <w:shd w:val="clear" w:color="auto" w:fill="FFFFFF"/>
        </w:rPr>
        <w:t xml:space="preserve"> </w:t>
      </w:r>
      <w:r w:rsidRPr="006A612F">
        <w:rPr>
          <w:iCs/>
          <w:shd w:val="clear" w:color="auto" w:fill="FFFFFF"/>
        </w:rPr>
        <w:t>loquitur</w:t>
      </w:r>
      <w:r w:rsidRPr="006A612F">
        <w:rPr>
          <w:shd w:val="clear" w:color="auto" w:fill="FFFFFF"/>
        </w:rPr>
        <w:t xml:space="preserve">, </w:t>
      </w:r>
      <w:r w:rsidR="00BF278E" w:rsidRPr="006A612F">
        <w:rPr>
          <w:shd w:val="clear" w:color="auto" w:fill="FFFFFF"/>
        </w:rPr>
        <w:t>“</w:t>
      </w:r>
      <w:r w:rsidRPr="006A612F">
        <w:rPr>
          <w:shd w:val="clear" w:color="auto" w:fill="FFFFFF"/>
        </w:rPr>
        <w:t>places a strong</w:t>
      </w:r>
      <w:r w:rsidR="000B1D04" w:rsidRPr="006A612F">
        <w:rPr>
          <w:shd w:val="clear" w:color="auto" w:fill="FFFFFF"/>
        </w:rPr>
        <w:t xml:space="preserve"> </w:t>
      </w:r>
      <w:r w:rsidRPr="006A612F">
        <w:rPr>
          <w:shd w:val="clear" w:color="auto" w:fill="FFFFFF"/>
        </w:rPr>
        <w:t>incentive</w:t>
      </w:r>
      <w:r w:rsidR="000B1D04" w:rsidRPr="006A612F">
        <w:rPr>
          <w:shd w:val="clear" w:color="auto" w:fill="FFFFFF"/>
        </w:rPr>
        <w:t xml:space="preserve"> </w:t>
      </w:r>
      <w:r w:rsidRPr="006A612F">
        <w:rPr>
          <w:shd w:val="clear" w:color="auto" w:fill="FFFFFF"/>
        </w:rPr>
        <w:t>on the party with superior knowledge to explain the cause of an accident and to come forward with evidence in its defense.</w:t>
      </w:r>
      <w:r w:rsidR="00BF278E" w:rsidRPr="006A612F">
        <w:rPr>
          <w:shd w:val="clear" w:color="auto" w:fill="FFFFFF"/>
        </w:rPr>
        <w:t>”</w:t>
      </w:r>
      <w:r w:rsidRPr="006A612F">
        <w:rPr>
          <w:rStyle w:val="NoterefInText"/>
        </w:rPr>
        <w:footnoteReference w:id="277"/>
      </w:r>
      <w:r w:rsidRPr="006A612F">
        <w:rPr>
          <w:shd w:val="clear" w:color="auto" w:fill="FFFFFF"/>
        </w:rPr>
        <w:t> </w:t>
      </w:r>
    </w:p>
    <w:p w14:paraId="430F3A40" w14:textId="6D765A69" w:rsidR="00F70B74" w:rsidRPr="006A612F" w:rsidRDefault="00F70B74" w:rsidP="00AA6ED0">
      <w:pPr>
        <w:pStyle w:val="Document"/>
        <w:spacing w:line="240" w:lineRule="auto"/>
        <w:rPr>
          <w:shd w:val="clear" w:color="auto" w:fill="FFFFFF"/>
        </w:rPr>
      </w:pPr>
      <w:r w:rsidRPr="006A612F">
        <w:t xml:space="preserve">However, it is important to note that </w:t>
      </w:r>
      <w:r w:rsidRPr="006A612F">
        <w:rPr>
          <w:i/>
          <w:iCs/>
        </w:rPr>
        <w:t>causa per se</w:t>
      </w:r>
      <w:r w:rsidRPr="006A612F">
        <w:t xml:space="preserve"> does not necessarily result in joint liability.</w:t>
      </w:r>
      <w:r w:rsidR="006A559C" w:rsidRPr="006A612F">
        <w:t xml:space="preserve"> </w:t>
      </w:r>
      <w:r w:rsidRPr="006A612F">
        <w:t xml:space="preserve">When a plaintiff offers evidence of a constitutional violation and that the defendant was present around the time of the violation, </w:t>
      </w:r>
      <w:r w:rsidRPr="006A612F">
        <w:rPr>
          <w:shd w:val="clear" w:color="auto" w:fill="FFFFFF"/>
        </w:rPr>
        <w:t>a fact</w:t>
      </w:r>
      <w:r w:rsidR="001203B5" w:rsidRPr="006A612F">
        <w:rPr>
          <w:shd w:val="clear" w:color="auto" w:fill="FFFFFF"/>
        </w:rPr>
        <w:t xml:space="preserve"> </w:t>
      </w:r>
      <w:r w:rsidRPr="006A612F">
        <w:rPr>
          <w:shd w:val="clear" w:color="auto" w:fill="FFFFFF"/>
        </w:rPr>
        <w:t>finder could infer causation</w:t>
      </w:r>
      <w:r w:rsidRPr="006A612F">
        <w:t>. This shifts the burden of production to the defendants.</w:t>
      </w:r>
      <w:r w:rsidRPr="006A612F">
        <w:rPr>
          <w:rStyle w:val="NoterefInText"/>
        </w:rPr>
        <w:footnoteReference w:id="278"/>
      </w:r>
      <w:r w:rsidR="006A559C" w:rsidRPr="006A612F">
        <w:t xml:space="preserve"> </w:t>
      </w:r>
      <w:r w:rsidRPr="006A612F">
        <w:rPr>
          <w:shd w:val="clear" w:color="auto" w:fill="FFFFFF"/>
        </w:rPr>
        <w:t xml:space="preserve">Defendants may avoid liability by coming forward with </w:t>
      </w:r>
      <w:r w:rsidRPr="006A612F">
        <w:rPr>
          <w:shd w:val="clear" w:color="auto" w:fill="FFFFFF"/>
        </w:rPr>
        <w:lastRenderedPageBreak/>
        <w:t>evidence that shows they did not inflict the injury and could not have prevented the injury from being inflicted.</w:t>
      </w:r>
      <w:r w:rsidR="006A559C" w:rsidRPr="006A612F">
        <w:rPr>
          <w:shd w:val="clear" w:color="auto" w:fill="FFFFFF"/>
        </w:rPr>
        <w:t xml:space="preserve"> </w:t>
      </w:r>
      <w:r w:rsidRPr="006A612F">
        <w:rPr>
          <w:shd w:val="clear" w:color="auto" w:fill="FFFFFF"/>
        </w:rPr>
        <w:t>More often than not</w:t>
      </w:r>
      <w:r w:rsidRPr="006A612F">
        <w:t>,</w:t>
      </w:r>
      <w:r w:rsidRPr="006A612F">
        <w:rPr>
          <w:shd w:val="clear" w:color="auto" w:fill="FFFFFF"/>
        </w:rPr>
        <w:t xml:space="preserve"> they will accomplish this by testifying about what happened.</w:t>
      </w:r>
      <w:r w:rsidR="006A559C" w:rsidRPr="006A612F">
        <w:rPr>
          <w:shd w:val="clear" w:color="auto" w:fill="FFFFFF"/>
        </w:rPr>
        <w:t xml:space="preserve"> </w:t>
      </w:r>
      <w:r w:rsidRPr="006A612F">
        <w:rPr>
          <w:shd w:val="clear" w:color="auto" w:fill="FFFFFF"/>
        </w:rPr>
        <w:t>If defendants fail to offer evidence that they did not cause the constitutional deprivation</w:t>
      </w:r>
      <w:r w:rsidR="003B3D50" w:rsidRPr="006A612F">
        <w:rPr>
          <w:shd w:val="clear" w:color="auto" w:fill="FFFFFF"/>
        </w:rPr>
        <w:t>, then</w:t>
      </w:r>
      <w:r w:rsidRPr="006A612F">
        <w:rPr>
          <w:shd w:val="clear" w:color="auto" w:fill="FFFFFF"/>
        </w:rPr>
        <w:t xml:space="preserve"> the plaintiff has established a prima facie case</w:t>
      </w:r>
      <w:r w:rsidR="005C59E4" w:rsidRPr="006A612F">
        <w:rPr>
          <w:shd w:val="clear" w:color="auto" w:fill="FFFFFF"/>
        </w:rPr>
        <w:t>,</w:t>
      </w:r>
      <w:r w:rsidRPr="006A612F">
        <w:rPr>
          <w:shd w:val="clear" w:color="auto" w:fill="FFFFFF"/>
        </w:rPr>
        <w:t xml:space="preserve"> and the defendants may be jointly liable for the plaintiff</w:t>
      </w:r>
      <w:r w:rsidR="00BF278E" w:rsidRPr="006A612F">
        <w:rPr>
          <w:shd w:val="clear" w:color="auto" w:fill="FFFFFF"/>
        </w:rPr>
        <w:t>’</w:t>
      </w:r>
      <w:r w:rsidRPr="006A612F">
        <w:rPr>
          <w:shd w:val="clear" w:color="auto" w:fill="FFFFFF"/>
        </w:rPr>
        <w:t>s damages.</w:t>
      </w:r>
    </w:p>
    <w:p w14:paraId="3A3A7441" w14:textId="77777777" w:rsidR="00F70B74" w:rsidRPr="006A612F" w:rsidRDefault="00F70B74" w:rsidP="00AA6ED0">
      <w:pPr>
        <w:pStyle w:val="SubHead1"/>
        <w:spacing w:line="240" w:lineRule="auto"/>
      </w:pPr>
      <w:r w:rsidRPr="006A612F">
        <w:t>Conclusion</w:t>
      </w:r>
    </w:p>
    <w:p w14:paraId="6F8AB4A2" w14:textId="0667E982" w:rsidR="00F70B74" w:rsidRPr="006A612F" w:rsidRDefault="00F70B74" w:rsidP="00AA6ED0">
      <w:pPr>
        <w:pStyle w:val="Document"/>
        <w:spacing w:line="240" w:lineRule="auto"/>
      </w:pPr>
      <w:r w:rsidRPr="006A612F">
        <w:t xml:space="preserve">Courts have debated the phrase </w:t>
      </w:r>
      <w:r w:rsidR="00BF278E" w:rsidRPr="006A612F">
        <w:t>“</w:t>
      </w:r>
      <w:r w:rsidRPr="006A612F">
        <w:t xml:space="preserve">subjects </w:t>
      </w:r>
      <w:r w:rsidR="0089460E" w:rsidRPr="006A612F">
        <w:t xml:space="preserve">or </w:t>
      </w:r>
      <w:r w:rsidRPr="006A612F">
        <w:t>causes to be subjected</w:t>
      </w:r>
      <w:r w:rsidR="00BF278E" w:rsidRPr="006A612F">
        <w:t>”</w:t>
      </w:r>
      <w:r w:rsidRPr="006A612F">
        <w:t xml:space="preserve"> since at least 1961.</w:t>
      </w:r>
      <w:r w:rsidRPr="006A612F">
        <w:rPr>
          <w:rStyle w:val="NoterefInText"/>
        </w:rPr>
        <w:footnoteReference w:id="279"/>
      </w:r>
      <w:r w:rsidR="006A559C" w:rsidRPr="006A612F">
        <w:t xml:space="preserve"> </w:t>
      </w:r>
      <w:r w:rsidRPr="006A612F">
        <w:t>And its ambiguity gives courts the leeway to incorporate their own normative concepts of causation and liability.</w:t>
      </w:r>
      <w:r w:rsidR="006A559C" w:rsidRPr="006A612F">
        <w:t xml:space="preserve"> </w:t>
      </w:r>
      <w:r w:rsidRPr="006A612F">
        <w:t>A narrow interpre</w:t>
      </w:r>
      <w:r w:rsidR="00530B96" w:rsidRPr="006A612F">
        <w:t>t</w:t>
      </w:r>
      <w:r w:rsidRPr="006A612F">
        <w:t>ation will limit liab</w:t>
      </w:r>
      <w:r w:rsidR="001C72A9" w:rsidRPr="006A612F">
        <w:t>i</w:t>
      </w:r>
      <w:r w:rsidRPr="006A612F">
        <w:t>lity to the most proximate cause</w:t>
      </w:r>
      <w:r w:rsidR="00614397" w:rsidRPr="006A612F">
        <w:t>—</w:t>
      </w:r>
      <w:r w:rsidRPr="006A612F">
        <w:t>the police official who kicks the defendant in the face.</w:t>
      </w:r>
      <w:r w:rsidR="006A559C" w:rsidRPr="006A612F">
        <w:t xml:space="preserve"> </w:t>
      </w:r>
      <w:r w:rsidRPr="006A612F">
        <w:t>A broad interpretation guarantees that municipalities will be liable for their employees</w:t>
      </w:r>
      <w:r w:rsidR="00BF278E" w:rsidRPr="006A612F">
        <w:t>’</w:t>
      </w:r>
      <w:r w:rsidRPr="006A612F">
        <w:t xml:space="preserve"> malfeasances.</w:t>
      </w:r>
      <w:r w:rsidR="006A559C" w:rsidRPr="006A612F">
        <w:t xml:space="preserve"> </w:t>
      </w:r>
      <w:r w:rsidRPr="006A612F">
        <w:t>Viewed solely in the context of §</w:t>
      </w:r>
      <w:r w:rsidR="000B1D04" w:rsidRPr="006A612F">
        <w:t> </w:t>
      </w:r>
      <w:r w:rsidRPr="006A612F">
        <w:t>1983 substantive law, it appears that courts have landed somewhere in the middle of the spectrum.</w:t>
      </w:r>
      <w:r w:rsidR="006A559C" w:rsidRPr="006A612F">
        <w:t xml:space="preserve"> </w:t>
      </w:r>
    </w:p>
    <w:p w14:paraId="37408E95" w14:textId="0D3BE525" w:rsidR="00F70B74" w:rsidRPr="006A612F" w:rsidRDefault="00F70B74" w:rsidP="00AA6ED0">
      <w:pPr>
        <w:pStyle w:val="Document"/>
        <w:spacing w:line="240" w:lineRule="auto"/>
      </w:pPr>
      <w:r w:rsidRPr="006A612F">
        <w:t>Yet, police misconduct is not judged in the vac</w:t>
      </w:r>
      <w:r w:rsidR="009C4BB4" w:rsidRPr="006A612F">
        <w:t>u</w:t>
      </w:r>
      <w:r w:rsidRPr="006A612F">
        <w:t>um of §</w:t>
      </w:r>
      <w:r w:rsidR="000B1D04" w:rsidRPr="006A612F">
        <w:t> </w:t>
      </w:r>
      <w:r w:rsidRPr="006A612F">
        <w:t>1983 substantive law.</w:t>
      </w:r>
      <w:r w:rsidR="006A559C" w:rsidRPr="006A612F">
        <w:t xml:space="preserve"> </w:t>
      </w:r>
      <w:r w:rsidRPr="006A612F">
        <w:t>It is filtered through procedural rules and police customs. Combined, §</w:t>
      </w:r>
      <w:r w:rsidR="000B1D04" w:rsidRPr="006A612F">
        <w:t> </w:t>
      </w:r>
      <w:r w:rsidRPr="006A612F">
        <w:t>1983 law, procedural rules, and police norms conceal misconduct</w:t>
      </w:r>
      <w:r w:rsidR="006A559C" w:rsidRPr="006A612F">
        <w:t xml:space="preserve"> </w:t>
      </w:r>
      <w:r w:rsidRPr="006A612F">
        <w:t>and shield police from liability and accountability.</w:t>
      </w:r>
      <w:r w:rsidR="006A559C" w:rsidRPr="006A612F">
        <w:t xml:space="preserve"> </w:t>
      </w:r>
      <w:r w:rsidRPr="006A612F">
        <w:t xml:space="preserve">Courts can shift this narrative by adopting </w:t>
      </w:r>
      <w:r w:rsidRPr="006A612F">
        <w:rPr>
          <w:i/>
          <w:iCs/>
        </w:rPr>
        <w:t>causa per se</w:t>
      </w:r>
      <w:r w:rsidRPr="006A612F">
        <w:t xml:space="preserve"> and shifting the burden of producing evidence of causation on the defendants.</w:t>
      </w:r>
      <w:r w:rsidR="006A559C" w:rsidRPr="006A612F">
        <w:t xml:space="preserve"> </w:t>
      </w:r>
      <w:r w:rsidRPr="006A612F">
        <w:t xml:space="preserve"> </w:t>
      </w:r>
    </w:p>
    <w:p w14:paraId="42AABAFA" w14:textId="3A425C4D" w:rsidR="00F70B74" w:rsidRPr="006A612F" w:rsidRDefault="00F70B74" w:rsidP="00AA6ED0">
      <w:pPr>
        <w:pStyle w:val="Document"/>
        <w:spacing w:line="240" w:lineRule="auto"/>
      </w:pPr>
      <w:r w:rsidRPr="006A612F">
        <w:rPr>
          <w:i/>
        </w:rPr>
        <w:t>Causa per se</w:t>
      </w:r>
      <w:r w:rsidRPr="006A612F">
        <w:t xml:space="preserve"> is not per se liability.</w:t>
      </w:r>
      <w:r w:rsidR="006A559C" w:rsidRPr="006A612F">
        <w:t xml:space="preserve"> </w:t>
      </w:r>
      <w:r w:rsidRPr="006A612F">
        <w:t>Section 1983 plaintiffs will still have significant obstacles to overcome.</w:t>
      </w:r>
      <w:r w:rsidR="006A559C" w:rsidRPr="006A612F">
        <w:t xml:space="preserve"> </w:t>
      </w:r>
      <w:r w:rsidRPr="006A612F">
        <w:t xml:space="preserve">However, </w:t>
      </w:r>
      <w:r w:rsidRPr="006A612F">
        <w:rPr>
          <w:i/>
        </w:rPr>
        <w:t>c</w:t>
      </w:r>
      <w:r w:rsidRPr="006A612F">
        <w:rPr>
          <w:i/>
          <w:shd w:val="clear" w:color="auto" w:fill="FFFFFF"/>
        </w:rPr>
        <w:t>ausa per se</w:t>
      </w:r>
      <w:r w:rsidRPr="006A612F">
        <w:rPr>
          <w:shd w:val="clear" w:color="auto" w:fill="FFFFFF"/>
        </w:rPr>
        <w:t xml:space="preserve"> will change the balance in these multiple</w:t>
      </w:r>
      <w:r w:rsidR="004F3A9D" w:rsidRPr="006A612F">
        <w:rPr>
          <w:shd w:val="clear" w:color="auto" w:fill="FFFFFF"/>
        </w:rPr>
        <w:t>-</w:t>
      </w:r>
      <w:r w:rsidRPr="006A612F">
        <w:rPr>
          <w:shd w:val="clear" w:color="auto" w:fill="FFFFFF"/>
        </w:rPr>
        <w:t xml:space="preserve">defendant police misconduct cases by </w:t>
      </w:r>
      <w:r w:rsidRPr="006A612F">
        <w:t>placing the burden of production on those most able to bear its onus</w:t>
      </w:r>
      <w:r w:rsidR="008B1ED4" w:rsidRPr="006A612F">
        <w:t>—</w:t>
      </w:r>
      <w:r w:rsidRPr="006A612F">
        <w:rPr>
          <w:shd w:val="clear" w:color="auto" w:fill="FFFFFF"/>
        </w:rPr>
        <w:t>the police officials who know what happened.</w:t>
      </w:r>
      <w:r w:rsidR="006A559C" w:rsidRPr="006A612F">
        <w:rPr>
          <w:shd w:val="clear" w:color="auto" w:fill="FFFFFF"/>
        </w:rPr>
        <w:t xml:space="preserve"> </w:t>
      </w:r>
      <w:r w:rsidRPr="006A612F">
        <w:t>And in so doing</w:t>
      </w:r>
      <w:r w:rsidR="001518B1" w:rsidRPr="006A612F">
        <w:t>,</w:t>
      </w:r>
      <w:r w:rsidRPr="006A612F">
        <w:t xml:space="preserve"> </w:t>
      </w:r>
      <w:r w:rsidRPr="006A612F">
        <w:rPr>
          <w:i/>
        </w:rPr>
        <w:t>causa per se</w:t>
      </w:r>
      <w:r w:rsidRPr="006A612F">
        <w:t xml:space="preserve"> breaks down the blue wall of silence, increases police accountability, and increases the chances that victims of police violence will be compensated.</w:t>
      </w:r>
      <w:r w:rsidR="006A559C" w:rsidRPr="006A612F">
        <w:t xml:space="preserve"> </w:t>
      </w:r>
    </w:p>
    <w:p w14:paraId="2AD3E249" w14:textId="77777777" w:rsidR="007B3743" w:rsidRPr="006A612F" w:rsidRDefault="007B3743" w:rsidP="00AA6ED0">
      <w:pPr>
        <w:pStyle w:val="Document"/>
        <w:spacing w:line="240" w:lineRule="auto"/>
        <w:rPr>
          <w:rStyle w:val="Asterisk"/>
          <w:vertAlign w:val="baseline"/>
        </w:rPr>
      </w:pPr>
    </w:p>
    <w:sectPr w:rsidR="007B3743" w:rsidRPr="006A612F" w:rsidSect="00AA6ED0">
      <w:headerReference w:type="even" r:id="rId12"/>
      <w:headerReference w:type="default" r:id="rId13"/>
      <w:headerReference w:type="first" r:id="rId14"/>
      <w:type w:val="continuous"/>
      <w:pgSz w:w="12240" w:h="15840" w:code="1"/>
      <w:pgMar w:top="720" w:right="2760" w:bottom="2040" w:left="2760" w:header="720" w:footer="2040" w:gutter="0"/>
      <w:pgNumType w:start="8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BA26" w14:textId="77777777" w:rsidR="00FC172D" w:rsidRDefault="00FC172D">
      <w:r>
        <w:separator/>
      </w:r>
    </w:p>
  </w:endnote>
  <w:endnote w:type="continuationSeparator" w:id="0">
    <w:p w14:paraId="79CA9521" w14:textId="77777777" w:rsidR="00FC172D" w:rsidRDefault="00FC172D">
      <w:r>
        <w:continuationSeparator/>
      </w:r>
    </w:p>
  </w:endnote>
  <w:endnote w:type="continuationNotice" w:id="1">
    <w:p w14:paraId="724236D3" w14:textId="77777777" w:rsidR="00FC172D" w:rsidRDefault="00FC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7A56" w14:textId="77777777" w:rsidR="00FC172D" w:rsidRPr="00BF278E" w:rsidRDefault="00FC172D" w:rsidP="00BF278E">
      <w:pPr>
        <w:pStyle w:val="Footer"/>
        <w:pBdr>
          <w:bottom w:val="single" w:sz="6" w:space="0" w:color="auto"/>
        </w:pBdr>
        <w:spacing w:after="80"/>
      </w:pPr>
    </w:p>
  </w:footnote>
  <w:footnote w:type="continuationSeparator" w:id="0">
    <w:p w14:paraId="3BD2A037" w14:textId="77777777" w:rsidR="00FC172D" w:rsidRPr="00BF278E" w:rsidRDefault="00FC172D" w:rsidP="00BF278E">
      <w:pPr>
        <w:pStyle w:val="Footer"/>
        <w:pBdr>
          <w:bottom w:val="single" w:sz="6" w:space="0" w:color="auto"/>
        </w:pBdr>
        <w:spacing w:after="80"/>
      </w:pPr>
    </w:p>
  </w:footnote>
  <w:footnote w:type="continuationNotice" w:id="1">
    <w:p w14:paraId="69805ED3" w14:textId="77777777" w:rsidR="00FC172D" w:rsidRDefault="00FC172D"/>
  </w:footnote>
  <w:footnote w:id="2">
    <w:p w14:paraId="29A8540C" w14:textId="3690D0D6" w:rsidR="00315997" w:rsidRPr="006A612F" w:rsidRDefault="00096A9B"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6A612F">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Professor of Law, Villanova University Charles Widger School of Law; B.A., 1998 University of Virginia; J.D., 2002, Columbia University School of Law. Thank you to the faculty members at Villanova Law School who attended the workshop for this paper for your helpful comments. I am especially grateful to Sheldon Nahmod, Rosalie Levinson, Jack Preis, Todd Aagaard, Doris Brogan, Ellen Wertheimer, Jonathan Feinberg, and Tammi Inscho for their careful reviews and insightful comments. I also thank Waqar Rehman for bringing this overlooked problem to my attention. Finally, I thank my research assistants, Erica Atkin, Andrew Girman, Celia Morrison, Taylor Williams, Spencer Woepse, and </w:t>
      </w:r>
      <w:r w:rsidR="00315997" w:rsidRPr="006A612F">
        <w:rPr>
          <w:i/>
          <w:iCs/>
          <w:szCs w:val="17"/>
        </w:rPr>
        <w:t>Texas Law Review</w:t>
      </w:r>
      <w:r w:rsidR="00BF278E" w:rsidRPr="006A612F">
        <w:rPr>
          <w:szCs w:val="17"/>
        </w:rPr>
        <w:t>’</w:t>
      </w:r>
      <w:r w:rsidR="00315997" w:rsidRPr="006A612F">
        <w:rPr>
          <w:szCs w:val="17"/>
        </w:rPr>
        <w:t>s editors and staff for their superb work on this project.</w:t>
      </w:r>
    </w:p>
  </w:footnote>
  <w:footnote w:id="3">
    <w:p w14:paraId="39AD2AA6" w14:textId="2F963CB4"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 § 1983 plaintiff must show a deprivation of a federally protected right. </w:t>
      </w:r>
      <w:r w:rsidR="00315997" w:rsidRPr="006A612F">
        <w:rPr>
          <w:color w:val="000000"/>
          <w:szCs w:val="17"/>
          <w:bdr w:val="none" w:sz="0" w:space="0" w:color="auto" w:frame="1"/>
        </w:rPr>
        <w:t>Dennis v. Higgins</w:t>
      </w:r>
      <w:r w:rsidR="00315997" w:rsidRPr="006A612F">
        <w:rPr>
          <w:color w:val="000000"/>
          <w:szCs w:val="17"/>
        </w:rPr>
        <w:t>, 498 U.S. 439, 445 (1991) (citing </w:t>
      </w:r>
      <w:r w:rsidR="00315997" w:rsidRPr="006A612F">
        <w:rPr>
          <w:color w:val="000000"/>
          <w:szCs w:val="17"/>
          <w:bdr w:val="none" w:sz="0" w:space="0" w:color="auto" w:frame="1"/>
        </w:rPr>
        <w:t>Monell v. Dep</w:t>
      </w:r>
      <w:r w:rsidRPr="006A612F">
        <w:rPr>
          <w:color w:val="000000"/>
          <w:szCs w:val="17"/>
          <w:bdr w:val="none" w:sz="0" w:space="0" w:color="auto" w:frame="1"/>
        </w:rPr>
        <w:t>’</w:t>
      </w:r>
      <w:r w:rsidR="00315997" w:rsidRPr="006A612F">
        <w:rPr>
          <w:color w:val="000000"/>
          <w:szCs w:val="17"/>
          <w:bdr w:val="none" w:sz="0" w:space="0" w:color="auto" w:frame="1"/>
        </w:rPr>
        <w:t>t of Soc. Servs.</w:t>
      </w:r>
      <w:r w:rsidR="00315997" w:rsidRPr="006A612F">
        <w:rPr>
          <w:color w:val="000000" w:themeColor="text1"/>
          <w:szCs w:val="17"/>
        </w:rPr>
        <w:t xml:space="preserve"> of N.Y.C.</w:t>
      </w:r>
      <w:r w:rsidR="00315997" w:rsidRPr="006A612F">
        <w:rPr>
          <w:color w:val="000000"/>
          <w:szCs w:val="17"/>
          <w:bdr w:val="none" w:sz="0" w:space="0" w:color="auto" w:frame="1"/>
        </w:rPr>
        <w:t>,</w:t>
      </w:r>
      <w:r w:rsidR="00315997" w:rsidRPr="006A612F">
        <w:rPr>
          <w:color w:val="000000"/>
          <w:szCs w:val="17"/>
        </w:rPr>
        <w:t xml:space="preserve"> 436 U.S. 658, 700–01 (1978)). The Fourth Amendment guarantees the right for persons to be free from unreasonable seizures. </w:t>
      </w:r>
      <w:r w:rsidR="00315997" w:rsidRPr="006A612F">
        <w:rPr>
          <w:smallCaps/>
          <w:color w:val="000000"/>
          <w:szCs w:val="17"/>
        </w:rPr>
        <w:t>U.S. Const.</w:t>
      </w:r>
      <w:r w:rsidR="00315997" w:rsidRPr="006A612F">
        <w:rPr>
          <w:color w:val="000000"/>
          <w:szCs w:val="17"/>
        </w:rPr>
        <w:t xml:space="preserve"> amend IV. </w:t>
      </w:r>
      <w:r w:rsidR="00315997" w:rsidRPr="006A612F">
        <w:rPr>
          <w:szCs w:val="17"/>
        </w:rPr>
        <w:t>When a court finds police officials</w:t>
      </w:r>
      <w:r w:rsidRPr="006A612F">
        <w:rPr>
          <w:szCs w:val="17"/>
        </w:rPr>
        <w:t>’</w:t>
      </w:r>
      <w:r w:rsidR="00315997" w:rsidRPr="006A612F">
        <w:rPr>
          <w:szCs w:val="17"/>
        </w:rPr>
        <w:t xml:space="preserve"> use of force during a seizure was reasonable, there is no Fourth Amendment violation. Graham v. Connor, 490 U.S 386, 388 (1989).</w:t>
      </w:r>
    </w:p>
  </w:footnote>
  <w:footnote w:id="4">
    <w:p w14:paraId="4349F76C" w14:textId="38EBF5C4" w:rsidR="00315997" w:rsidRPr="007E4289" w:rsidRDefault="00BF278E" w:rsidP="00AA6ED0">
      <w:pPr>
        <w:pStyle w:val="FootNote"/>
        <w:spacing w:line="240" w:lineRule="auto"/>
        <w:rPr>
          <w:b/>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Jutrowski v. Township of Riverdale, 904 F.3d 280, 284–85 (3d Cir. 2018) (determining that the plaintiff</w:t>
      </w:r>
      <w:r w:rsidRPr="006A612F">
        <w:rPr>
          <w:szCs w:val="17"/>
        </w:rPr>
        <w:t>’</w:t>
      </w:r>
      <w:r w:rsidR="00315997" w:rsidRPr="006A612F">
        <w:rPr>
          <w:szCs w:val="17"/>
        </w:rPr>
        <w:t xml:space="preserve">s </w:t>
      </w:r>
      <w:r w:rsidRPr="006A612F">
        <w:rPr>
          <w:szCs w:val="17"/>
        </w:rPr>
        <w:t>“</w:t>
      </w:r>
      <w:r w:rsidR="00315997" w:rsidRPr="006A612F">
        <w:rPr>
          <w:szCs w:val="17"/>
        </w:rPr>
        <w:t>inability to identify his attacker was fatal to his claims</w:t>
      </w:r>
      <w:r w:rsidRPr="006A612F">
        <w:rPr>
          <w:szCs w:val="17"/>
        </w:rPr>
        <w:t>”</w:t>
      </w:r>
      <w:r w:rsidR="00315997" w:rsidRPr="006A612F">
        <w:rPr>
          <w:szCs w:val="17"/>
        </w:rPr>
        <w:t xml:space="preserve"> and granting summary judgment in the defendants</w:t>
      </w:r>
      <w:r w:rsidRPr="006A612F">
        <w:rPr>
          <w:szCs w:val="17"/>
        </w:rPr>
        <w:t>’</w:t>
      </w:r>
      <w:r w:rsidR="00315997" w:rsidRPr="006A612F">
        <w:rPr>
          <w:szCs w:val="17"/>
        </w:rPr>
        <w:t xml:space="preserve"> favor).</w:t>
      </w:r>
    </w:p>
  </w:footnote>
  <w:footnote w:id="5">
    <w:p w14:paraId="6B506764" w14:textId="04131B2B" w:rsidR="00315997" w:rsidRPr="006A612F"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904 F.3d 280 (3d Cir. 2018).</w:t>
      </w:r>
    </w:p>
  </w:footnote>
  <w:footnote w:id="6">
    <w:p w14:paraId="07A5D144" w14:textId="06B38B89"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i/>
          <w:iCs/>
          <w:szCs w:val="17"/>
        </w:rPr>
        <w:t xml:space="preserve"> </w:t>
      </w:r>
      <w:r w:rsidR="00315997" w:rsidRPr="006A612F">
        <w:rPr>
          <w:szCs w:val="17"/>
        </w:rPr>
        <w:t>at 291 (quoting Colbert v. City of Chicago, 851 F.3d 649, 657–58 (7th Cir. 2017)).</w:t>
      </w:r>
    </w:p>
  </w:footnote>
  <w:footnote w:id="7">
    <w:p w14:paraId="4DE43684" w14:textId="4BE8B453"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e.g.</w:t>
      </w:r>
      <w:r w:rsidR="00315997" w:rsidRPr="006A612F">
        <w:rPr>
          <w:szCs w:val="17"/>
        </w:rPr>
        <w:t xml:space="preserve">, </w:t>
      </w:r>
      <w:r w:rsidR="00315997" w:rsidRPr="006A612F">
        <w:rPr>
          <w:i/>
          <w:iCs/>
          <w:szCs w:val="17"/>
        </w:rPr>
        <w:t>Colbert</w:t>
      </w:r>
      <w:r w:rsidR="00315997" w:rsidRPr="006A612F">
        <w:rPr>
          <w:szCs w:val="17"/>
        </w:rPr>
        <w:t>, 851 F.3d at 660 (</w:t>
      </w:r>
      <w:r w:rsidRPr="006A612F">
        <w:rPr>
          <w:szCs w:val="17"/>
        </w:rPr>
        <w:t>“</w:t>
      </w:r>
      <w:r w:rsidR="00315997" w:rsidRPr="006A612F">
        <w:rPr>
          <w:szCs w:val="17"/>
        </w:rPr>
        <w:t>Here, [the plaintiff] does not specifically identify any officer who was responsible for the alleged damage, or any who turned a blind eye to other officers</w:t>
      </w:r>
      <w:r w:rsidRPr="006A612F">
        <w:rPr>
          <w:szCs w:val="17"/>
        </w:rPr>
        <w:t>’</w:t>
      </w:r>
      <w:r w:rsidR="00315997" w:rsidRPr="006A612F">
        <w:rPr>
          <w:szCs w:val="17"/>
        </w:rPr>
        <w:t xml:space="preserve"> allegedly illegal actions.</w:t>
      </w:r>
      <w:r w:rsidRPr="006A612F">
        <w:rPr>
          <w:szCs w:val="17"/>
        </w:rPr>
        <w:t>”</w:t>
      </w:r>
      <w:r w:rsidR="00315997" w:rsidRPr="006A612F">
        <w:rPr>
          <w:szCs w:val="17"/>
        </w:rPr>
        <w:t>).</w:t>
      </w:r>
    </w:p>
  </w:footnote>
  <w:footnote w:id="8">
    <w:p w14:paraId="7F59C7CF" w14:textId="7F8C3FBC" w:rsidR="00315997" w:rsidRPr="006A612F" w:rsidRDefault="00BF278E" w:rsidP="00AA6ED0">
      <w:pPr>
        <w:pStyle w:val="FootNote"/>
        <w:spacing w:line="240" w:lineRule="auto"/>
        <w:rPr>
          <w:color w:val="4A4A4A"/>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657–58 (</w:t>
      </w:r>
      <w:r w:rsidRPr="006A612F">
        <w:rPr>
          <w:szCs w:val="17"/>
        </w:rPr>
        <w:t>“</w:t>
      </w:r>
      <w:r w:rsidR="00315997" w:rsidRPr="006A612F">
        <w:rPr>
          <w:szCs w:val="17"/>
        </w:rPr>
        <w:t>T</w:t>
      </w:r>
      <w:r w:rsidR="00315997" w:rsidRPr="006A612F">
        <w:rPr>
          <w:szCs w:val="17"/>
          <w:shd w:val="clear" w:color="auto" w:fill="FFFFFF"/>
        </w:rPr>
        <w:t>here can be acceptable reasons for officers to clear a search area (</w:t>
      </w:r>
      <w:r w:rsidR="00315997" w:rsidRPr="0024777B">
        <w:rPr>
          <w:i/>
          <w:szCs w:val="17"/>
        </w:rPr>
        <w:t>e.g.</w:t>
      </w:r>
      <w:r w:rsidR="00315997" w:rsidRPr="006A612F">
        <w:rPr>
          <w:szCs w:val="17"/>
          <w:shd w:val="clear" w:color="auto" w:fill="FFFFFF"/>
        </w:rPr>
        <w:t>, officer and citizen safety, evidence preservation), but doing so can risk effectively immunizing officers from property-damage claims by preventing a plaintiff from observing the person responsible for the damage.</w:t>
      </w:r>
      <w:r w:rsidRPr="006A612F">
        <w:rPr>
          <w:szCs w:val="17"/>
          <w:shd w:val="clear" w:color="auto" w:fill="FFFFFF"/>
        </w:rPr>
        <w:t>”</w:t>
      </w:r>
      <w:r w:rsidR="00315997" w:rsidRPr="006A612F">
        <w:rPr>
          <w:szCs w:val="17"/>
          <w:shd w:val="clear" w:color="auto" w:fill="FFFFFF"/>
        </w:rPr>
        <w:t>)</w:t>
      </w:r>
      <w:r w:rsidR="00315997" w:rsidRPr="006A612F">
        <w:rPr>
          <w:szCs w:val="17"/>
        </w:rPr>
        <w:t>.</w:t>
      </w:r>
    </w:p>
  </w:footnote>
  <w:footnote w:id="9">
    <w:p w14:paraId="3253538D" w14:textId="5C3DA66D"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Catherine Fisk &amp; Erwin Chemerinsky, </w:t>
      </w:r>
      <w:r w:rsidR="00315997" w:rsidRPr="006A612F">
        <w:rPr>
          <w:i/>
          <w:iCs/>
          <w:szCs w:val="17"/>
        </w:rPr>
        <w:t>Civil Rights Without Remedies: Vicarious Liability Under Title VII, Section 1983, and Title IX</w:t>
      </w:r>
      <w:r w:rsidR="00315997" w:rsidRPr="006A612F">
        <w:rPr>
          <w:szCs w:val="17"/>
        </w:rPr>
        <w:t xml:space="preserve">, 7 </w:t>
      </w:r>
      <w:r w:rsidR="00315997" w:rsidRPr="006A612F">
        <w:rPr>
          <w:smallCaps/>
          <w:szCs w:val="17"/>
        </w:rPr>
        <w:t>Wm. &amp; Mary Bill Rts. J.</w:t>
      </w:r>
      <w:r w:rsidR="00315997" w:rsidRPr="006A612F">
        <w:rPr>
          <w:szCs w:val="17"/>
        </w:rPr>
        <w:t xml:space="preserve"> 755, 791 (1999) (discussing how vicarious liability would best serve the purpose of § 1983 to prevent constitutional violations); Charles A. Rothfeld, </w:t>
      </w:r>
      <w:r w:rsidR="00315997" w:rsidRPr="006A612F">
        <w:rPr>
          <w:i/>
          <w:iCs/>
          <w:szCs w:val="17"/>
        </w:rPr>
        <w:t>Section 1983 Municipal Liability and the Doctrine of Respondeat Superior</w:t>
      </w:r>
      <w:r w:rsidR="00315997" w:rsidRPr="006A612F">
        <w:rPr>
          <w:szCs w:val="17"/>
        </w:rPr>
        <w:t xml:space="preserve">, 46 </w:t>
      </w:r>
      <w:r w:rsidR="00315997" w:rsidRPr="006A612F">
        <w:rPr>
          <w:smallCaps/>
          <w:szCs w:val="17"/>
        </w:rPr>
        <w:t>U. Chi. L. Rev.</w:t>
      </w:r>
      <w:r w:rsidR="00315997" w:rsidRPr="006A612F">
        <w:rPr>
          <w:szCs w:val="17"/>
        </w:rPr>
        <w:t xml:space="preserve"> 935, 954 (1979) (stating that applying traditional respondeat superior would still require the plaintiff to establish a constitutional violation, but the plaintiff would only need to show that the individual wrongdoer was a municipal employee, rather than actually identifying the individual wrongdoer).</w:t>
      </w:r>
    </w:p>
  </w:footnote>
  <w:footnote w:id="10">
    <w:p w14:paraId="6914FFE3" w14:textId="16669DE9" w:rsidR="00315997" w:rsidRPr="006A612F" w:rsidRDefault="00BF278E" w:rsidP="00AA6ED0">
      <w:pPr>
        <w:pStyle w:val="FootNote"/>
        <w:spacing w:line="240" w:lineRule="auto"/>
        <w:rPr>
          <w:b/>
          <w:bCs/>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Byrne v. Boadle, 159 Eng. Rep. 299, 301 (1863) (applying the doctrine of res ipsa loquitor by holding that, after a barrel of flour fell out of a window and onto the plaintiff</w:t>
      </w:r>
      <w:r w:rsidRPr="006A612F">
        <w:rPr>
          <w:szCs w:val="17"/>
        </w:rPr>
        <w:t>’</w:t>
      </w:r>
      <w:r w:rsidR="00315997" w:rsidRPr="006A612F">
        <w:rPr>
          <w:szCs w:val="17"/>
        </w:rPr>
        <w:t>s head, the plaintiff was not required to prove the elements of negligence because the barrel</w:t>
      </w:r>
      <w:r w:rsidRPr="006A612F">
        <w:rPr>
          <w:szCs w:val="17"/>
        </w:rPr>
        <w:t>’</w:t>
      </w:r>
      <w:r w:rsidR="00315997" w:rsidRPr="006A612F">
        <w:rPr>
          <w:szCs w:val="17"/>
        </w:rPr>
        <w:t xml:space="preserve">s </w:t>
      </w:r>
      <w:r w:rsidRPr="006A612F">
        <w:rPr>
          <w:szCs w:val="17"/>
        </w:rPr>
        <w:t>“</w:t>
      </w:r>
      <w:r w:rsidR="00315997" w:rsidRPr="006A612F">
        <w:rPr>
          <w:szCs w:val="17"/>
        </w:rPr>
        <w:t>falling [was] primâ facie evidence of negligence</w:t>
      </w:r>
      <w:r w:rsidRPr="006A612F">
        <w:rPr>
          <w:szCs w:val="17"/>
        </w:rPr>
        <w:t>”</w:t>
      </w:r>
      <w:r w:rsidR="00315997" w:rsidRPr="006A612F">
        <w:rPr>
          <w:szCs w:val="17"/>
        </w:rPr>
        <w:t>);</w:t>
      </w:r>
      <w:r w:rsidR="00315997" w:rsidRPr="006A612F">
        <w:rPr>
          <w:b/>
          <w:bCs/>
          <w:szCs w:val="17"/>
        </w:rPr>
        <w:t xml:space="preserve"> </w:t>
      </w:r>
      <w:r w:rsidR="00315997" w:rsidRPr="006A612F">
        <w:rPr>
          <w:i/>
          <w:iCs/>
          <w:szCs w:val="17"/>
        </w:rPr>
        <w:t>see also infra</w:t>
      </w:r>
      <w:r w:rsidR="00315997" w:rsidRPr="006A612F">
        <w:rPr>
          <w:szCs w:val="17"/>
        </w:rPr>
        <w:t xml:space="preserve"> notes </w:t>
      </w:r>
      <w:r w:rsidR="00315997" w:rsidRPr="006A612F">
        <w:rPr>
          <w:szCs w:val="17"/>
        </w:rPr>
        <w:fldChar w:fldCharType="begin"/>
      </w:r>
      <w:r w:rsidR="00315997" w:rsidRPr="006A612F">
        <w:rPr>
          <w:szCs w:val="17"/>
        </w:rPr>
        <w:instrText xml:space="preserve"> NOTEREF _Ref85376982 \h  \* MERGEFORMAT </w:instrText>
      </w:r>
      <w:r w:rsidR="00315997" w:rsidRPr="006A612F">
        <w:rPr>
          <w:szCs w:val="17"/>
        </w:rPr>
      </w:r>
      <w:r w:rsidR="00315997" w:rsidRPr="006A612F">
        <w:rPr>
          <w:szCs w:val="17"/>
        </w:rPr>
        <w:fldChar w:fldCharType="separate"/>
      </w:r>
      <w:r w:rsidR="00AA6ED0" w:rsidRPr="006A612F">
        <w:rPr>
          <w:szCs w:val="17"/>
        </w:rPr>
        <w:t>240</w:t>
      </w:r>
      <w:r w:rsidR="00315997" w:rsidRPr="006A612F">
        <w:rPr>
          <w:szCs w:val="17"/>
        </w:rPr>
        <w:fldChar w:fldCharType="end"/>
      </w:r>
      <w:r w:rsidR="00315997" w:rsidRPr="006A612F">
        <w:rPr>
          <w:szCs w:val="17"/>
        </w:rPr>
        <w:t>–</w:t>
      </w:r>
      <w:r w:rsidR="0024777B">
        <w:rPr>
          <w:szCs w:val="17"/>
        </w:rPr>
        <w:t>46</w:t>
      </w:r>
      <w:r w:rsidR="00315997" w:rsidRPr="006A612F">
        <w:rPr>
          <w:szCs w:val="17"/>
        </w:rPr>
        <w:t xml:space="preserve"> and accompanying text.</w:t>
      </w:r>
    </w:p>
  </w:footnote>
  <w:footnote w:id="11">
    <w:p w14:paraId="41B90BBC" w14:textId="2C30F17B"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Kenneth S. Abraham, </w:t>
      </w:r>
      <w:r w:rsidR="00315997" w:rsidRPr="006A612F">
        <w:rPr>
          <w:i/>
          <w:iCs/>
          <w:szCs w:val="17"/>
        </w:rPr>
        <w:t>Self-Proving Causation</w:t>
      </w:r>
      <w:r w:rsidR="00315997" w:rsidRPr="006A612F">
        <w:rPr>
          <w:szCs w:val="17"/>
        </w:rPr>
        <w:t xml:space="preserve">, 99 </w:t>
      </w:r>
      <w:r w:rsidR="00315997" w:rsidRPr="006A612F">
        <w:rPr>
          <w:smallCaps/>
          <w:szCs w:val="17"/>
        </w:rPr>
        <w:t xml:space="preserve">Va. L. Rev. </w:t>
      </w:r>
      <w:r w:rsidR="00315997" w:rsidRPr="006A612F">
        <w:rPr>
          <w:szCs w:val="17"/>
        </w:rPr>
        <w:t>1811, 1842–43 (2013) (</w:t>
      </w:r>
      <w:r w:rsidRPr="006A612F">
        <w:rPr>
          <w:szCs w:val="17"/>
        </w:rPr>
        <w:t>“</w:t>
      </w:r>
      <w:r w:rsidR="00315997" w:rsidRPr="006A612F">
        <w:rPr>
          <w:szCs w:val="17"/>
        </w:rPr>
        <w:t>I</w:t>
      </w:r>
      <w:r w:rsidR="00315997" w:rsidRPr="006A612F">
        <w:rPr>
          <w:szCs w:val="17"/>
          <w:shd w:val="clear" w:color="auto" w:fill="FFFFFF"/>
        </w:rPr>
        <w:t xml:space="preserve">n some cases, however, the function of res ipsa is instead, or in addition, to </w:t>
      </w:r>
      <w:r w:rsidRPr="006A612F">
        <w:rPr>
          <w:szCs w:val="17"/>
          <w:shd w:val="clear" w:color="auto" w:fill="FFFFFF"/>
        </w:rPr>
        <w:t>‘</w:t>
      </w:r>
      <w:r w:rsidR="00315997" w:rsidRPr="006A612F">
        <w:rPr>
          <w:szCs w:val="17"/>
          <w:shd w:val="clear" w:color="auto" w:fill="FFFFFF"/>
        </w:rPr>
        <w:t>smoke out</w:t>
      </w:r>
      <w:r w:rsidRPr="006A612F">
        <w:rPr>
          <w:szCs w:val="17"/>
          <w:shd w:val="clear" w:color="auto" w:fill="FFFFFF"/>
        </w:rPr>
        <w:t>’</w:t>
      </w:r>
      <w:r w:rsidR="00315997" w:rsidRPr="006A612F">
        <w:rPr>
          <w:szCs w:val="17"/>
          <w:shd w:val="clear" w:color="auto" w:fill="FFFFFF"/>
        </w:rPr>
        <w:t xml:space="preserve"> evidence from the defendant that would not otherwise be produced.</w:t>
      </w:r>
      <w:r w:rsidRPr="006A612F">
        <w:rPr>
          <w:szCs w:val="17"/>
          <w:shd w:val="clear" w:color="auto" w:fill="FFFFFF"/>
        </w:rPr>
        <w:t>”</w:t>
      </w:r>
      <w:r w:rsidR="00315997" w:rsidRPr="006A612F">
        <w:rPr>
          <w:szCs w:val="17"/>
          <w:shd w:val="clear" w:color="auto" w:fill="FFFFFF"/>
        </w:rPr>
        <w:t>).</w:t>
      </w:r>
    </w:p>
  </w:footnote>
  <w:footnote w:id="12">
    <w:p w14:paraId="7303F805" w14:textId="24F275B5"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The </w:t>
      </w:r>
      <w:r w:rsidRPr="006A612F">
        <w:rPr>
          <w:szCs w:val="17"/>
        </w:rPr>
        <w:t>“</w:t>
      </w:r>
      <w:r w:rsidR="00315997" w:rsidRPr="006A612F">
        <w:rPr>
          <w:szCs w:val="17"/>
        </w:rPr>
        <w:t>blue wall of silence</w:t>
      </w:r>
      <w:r w:rsidRPr="006A612F">
        <w:rPr>
          <w:szCs w:val="17"/>
        </w:rPr>
        <w:t>”</w:t>
      </w:r>
      <w:r w:rsidR="00315997" w:rsidRPr="006A612F">
        <w:rPr>
          <w:szCs w:val="17"/>
        </w:rPr>
        <w:t xml:space="preserve"> is law enforcement officials</w:t>
      </w:r>
      <w:r w:rsidRPr="006A612F">
        <w:rPr>
          <w:szCs w:val="17"/>
        </w:rPr>
        <w:t>’</w:t>
      </w:r>
      <w:r w:rsidR="00315997" w:rsidRPr="006A612F">
        <w:rPr>
          <w:szCs w:val="17"/>
        </w:rPr>
        <w:t xml:space="preserve"> custom to remain silent about misconduct. For a fuller discussion, see </w:t>
      </w:r>
      <w:r w:rsidR="00315997" w:rsidRPr="006A612F">
        <w:rPr>
          <w:i/>
          <w:iCs/>
          <w:szCs w:val="17"/>
        </w:rPr>
        <w:t>infra</w:t>
      </w:r>
      <w:r w:rsidR="00315997" w:rsidRPr="006A612F">
        <w:rPr>
          <w:szCs w:val="17"/>
        </w:rPr>
        <w:t xml:space="preserve"> subpart I(E).</w:t>
      </w:r>
    </w:p>
  </w:footnote>
  <w:footnote w:id="13">
    <w:p w14:paraId="7A4ED804" w14:textId="5C989FEC"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While the </w:t>
      </w:r>
      <w:r w:rsidR="00315997" w:rsidRPr="006A612F">
        <w:rPr>
          <w:i/>
          <w:iCs/>
          <w:szCs w:val="17"/>
        </w:rPr>
        <w:t>causa per se</w:t>
      </w:r>
      <w:r w:rsidR="00315997" w:rsidRPr="006A612F">
        <w:rPr>
          <w:szCs w:val="17"/>
        </w:rPr>
        <w:t xml:space="preserve"> theory proposed herein may very well apply beyond the Fourth Amendment context, this Article is limited to § 1983 Fourth Amendment claims.</w:t>
      </w:r>
    </w:p>
  </w:footnote>
  <w:footnote w:id="14">
    <w:p w14:paraId="57F5B9BE" w14:textId="643825DD"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Fed. R. Civ. P. 3.</w:t>
      </w:r>
    </w:p>
  </w:footnote>
  <w:footnote w:id="15">
    <w:p w14:paraId="08E3A576" w14:textId="4DC3C9D2" w:rsidR="00315997" w:rsidRPr="006A612F" w:rsidRDefault="00BF278E" w:rsidP="00AA6ED0">
      <w:pPr>
        <w:pStyle w:val="FootNote"/>
        <w:spacing w:line="240" w:lineRule="auto"/>
        <w:rPr>
          <w:b/>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Rule 27, which allows a person to take depositions </w:t>
      </w:r>
      <w:r w:rsidRPr="006A612F">
        <w:rPr>
          <w:szCs w:val="17"/>
        </w:rPr>
        <w:t>“</w:t>
      </w:r>
      <w:r w:rsidR="00315997" w:rsidRPr="006A612F">
        <w:rPr>
          <w:szCs w:val="17"/>
        </w:rPr>
        <w:t>before an action is filed,</w:t>
      </w:r>
      <w:r w:rsidRPr="006A612F">
        <w:rPr>
          <w:szCs w:val="17"/>
        </w:rPr>
        <w:t>”</w:t>
      </w:r>
      <w:r w:rsidR="00315997" w:rsidRPr="006A612F">
        <w:rPr>
          <w:szCs w:val="17"/>
        </w:rPr>
        <w:t xml:space="preserve"> only applies in a special category of cases where testimony must be preserved. </w:t>
      </w:r>
      <w:r w:rsidR="00315997" w:rsidRPr="006A612F">
        <w:rPr>
          <w:smallCaps/>
          <w:szCs w:val="17"/>
          <w:shd w:val="clear" w:color="auto" w:fill="FFFFFF"/>
        </w:rPr>
        <w:t xml:space="preserve">Fed. R. Civ. P. 27. </w:t>
      </w:r>
      <w:r w:rsidR="00315997" w:rsidRPr="006A612F">
        <w:rPr>
          <w:szCs w:val="17"/>
        </w:rPr>
        <w:t xml:space="preserve">Under Rule 27, </w:t>
      </w:r>
      <w:r w:rsidR="00315997" w:rsidRPr="006A612F">
        <w:rPr>
          <w:szCs w:val="17"/>
          <w:shd w:val="clear" w:color="auto" w:fill="FFFFFF"/>
        </w:rPr>
        <w:t>in making a verified application to the court, the petitioner seeking to take the deposition must set forth five things: (1) that the petitioner expects to bring a cause of action, but is presently unable to bring it; (2) the subject matter of the expected action and the petitioner</w:t>
      </w:r>
      <w:r w:rsidRPr="006A612F">
        <w:rPr>
          <w:szCs w:val="17"/>
          <w:shd w:val="clear" w:color="auto" w:fill="FFFFFF"/>
        </w:rPr>
        <w:t>’</w:t>
      </w:r>
      <w:r w:rsidR="00315997" w:rsidRPr="006A612F">
        <w:rPr>
          <w:szCs w:val="17"/>
          <w:shd w:val="clear" w:color="auto" w:fill="FFFFFF"/>
        </w:rPr>
        <w:t xml:space="preserve">s interest therein; (3) the facts that the petitioner seeks to establish through the deposition; (4) the names and addresses of the expected adverse parties; and (5) the names and addresses of the people sought to be deposed along with the subject matter of the proposed testimony. </w:t>
      </w:r>
      <w:r w:rsidR="00315997" w:rsidRPr="0024777B">
        <w:rPr>
          <w:i/>
          <w:szCs w:val="17"/>
          <w:shd w:val="clear" w:color="auto" w:fill="FFFFFF"/>
        </w:rPr>
        <w:t>Id.</w:t>
      </w:r>
    </w:p>
  </w:footnote>
  <w:footnote w:id="16">
    <w:p w14:paraId="204F67E0" w14:textId="320C3E06" w:rsidR="00315997" w:rsidRPr="006A612F" w:rsidRDefault="00BF278E" w:rsidP="00AA6ED0">
      <w:pPr>
        <w:pStyle w:val="FootNote"/>
        <w:spacing w:line="240" w:lineRule="auto"/>
        <w:rPr>
          <w:color w:val="000000" w:themeColor="text1"/>
          <w:szCs w:val="17"/>
        </w:rPr>
      </w:pPr>
      <w:r w:rsidRPr="006A612F">
        <w:rPr>
          <w:i/>
          <w:iCs/>
          <w:color w:val="000000" w:themeColor="text1"/>
          <w:szCs w:val="17"/>
        </w:rPr>
        <w:fldChar w:fldCharType="begin"/>
      </w:r>
      <w:r w:rsidRPr="006A612F">
        <w:rPr>
          <w:i/>
          <w:iCs/>
          <w:color w:val="000000" w:themeColor="text1"/>
          <w:szCs w:val="17"/>
        </w:rPr>
        <w:instrText xml:space="preserve"> ADVANCE \r12 \* MERGEFORMAT </w:instrText>
      </w:r>
      <w:r w:rsidRPr="006A612F">
        <w:rPr>
          <w:i/>
          <w:iCs/>
          <w:color w:val="000000" w:themeColor="text1"/>
          <w:szCs w:val="17"/>
        </w:rPr>
        <w:fldChar w:fldCharType="end"/>
      </w:r>
      <w:r w:rsidR="00315997" w:rsidRPr="00732F34">
        <w:rPr>
          <w:rStyle w:val="NoterefInNote"/>
        </w:rPr>
        <w:footnoteRef/>
      </w:r>
      <w:r w:rsidRPr="00732F34">
        <w:rPr>
          <w:color w:val="000000" w:themeColor="text1"/>
          <w:szCs w:val="17"/>
        </w:rPr>
        <w:t>.</w:t>
      </w:r>
      <w:r w:rsidRPr="006A612F">
        <w:rPr>
          <w:i/>
          <w:iCs/>
          <w:color w:val="000000" w:themeColor="text1"/>
          <w:szCs w:val="17"/>
        </w:rPr>
        <w:fldChar w:fldCharType="begin"/>
      </w:r>
      <w:r w:rsidRPr="006A612F">
        <w:rPr>
          <w:i/>
          <w:iCs/>
          <w:color w:val="000000" w:themeColor="text1"/>
          <w:szCs w:val="17"/>
        </w:rPr>
        <w:instrText xml:space="preserve"> ADVANCE \r4 \* MERGEFORMAT </w:instrText>
      </w:r>
      <w:r w:rsidRPr="006A612F">
        <w:rPr>
          <w:i/>
          <w:iCs/>
          <w:color w:val="000000" w:themeColor="text1"/>
          <w:szCs w:val="17"/>
        </w:rPr>
        <w:fldChar w:fldCharType="end"/>
      </w:r>
      <w:r w:rsidR="00315997" w:rsidRPr="006A612F">
        <w:rPr>
          <w:i/>
          <w:iCs/>
          <w:color w:val="000000" w:themeColor="text1"/>
          <w:szCs w:val="17"/>
        </w:rPr>
        <w:t>See</w:t>
      </w:r>
      <w:r w:rsidR="00315997" w:rsidRPr="006A612F">
        <w:rPr>
          <w:color w:val="000000" w:themeColor="text1"/>
          <w:szCs w:val="17"/>
        </w:rPr>
        <w:t xml:space="preserve"> </w:t>
      </w:r>
      <w:r w:rsidR="00315997" w:rsidRPr="006A612F">
        <w:rPr>
          <w:smallCaps/>
          <w:color w:val="000000" w:themeColor="text1"/>
          <w:szCs w:val="17"/>
        </w:rPr>
        <w:t>Ala. R. Civ. P</w:t>
      </w:r>
      <w:r w:rsidR="00315997" w:rsidRPr="006A612F">
        <w:rPr>
          <w:color w:val="000000" w:themeColor="text1"/>
          <w:szCs w:val="17"/>
        </w:rPr>
        <w:t xml:space="preserve">. 27(a)(1) (Alabama); </w:t>
      </w:r>
      <w:r w:rsidR="00315997" w:rsidRPr="006A612F">
        <w:rPr>
          <w:smallCaps/>
          <w:color w:val="000000" w:themeColor="text1"/>
          <w:szCs w:val="17"/>
        </w:rPr>
        <w:t>Ariz. R. Civ. P</w:t>
      </w:r>
      <w:r w:rsidR="00315997" w:rsidRPr="006A612F">
        <w:rPr>
          <w:color w:val="000000" w:themeColor="text1"/>
          <w:szCs w:val="17"/>
        </w:rPr>
        <w:t xml:space="preserve">. 27 (Arizona); </w:t>
      </w:r>
      <w:r w:rsidR="00315997" w:rsidRPr="006A612F">
        <w:rPr>
          <w:smallCaps/>
          <w:color w:val="000000" w:themeColor="text1"/>
          <w:szCs w:val="17"/>
        </w:rPr>
        <w:t>Ark. R. Civ. P.</w:t>
      </w:r>
      <w:r w:rsidR="00315997" w:rsidRPr="006A612F">
        <w:rPr>
          <w:color w:val="000000" w:themeColor="text1"/>
          <w:szCs w:val="17"/>
        </w:rPr>
        <w:t xml:space="preserve"> 27 (Arkansas); </w:t>
      </w:r>
      <w:r w:rsidR="00315997" w:rsidRPr="006A612F">
        <w:rPr>
          <w:smallCaps/>
          <w:color w:val="000000" w:themeColor="text1"/>
          <w:szCs w:val="17"/>
        </w:rPr>
        <w:t>Cal. Civ. Proc. Code</w:t>
      </w:r>
      <w:r w:rsidR="00315997" w:rsidRPr="006A612F">
        <w:rPr>
          <w:color w:val="000000" w:themeColor="text1"/>
          <w:szCs w:val="17"/>
        </w:rPr>
        <w:t xml:space="preserve"> § 2035.010 (West 2017) (California); </w:t>
      </w:r>
      <w:r w:rsidR="00315997" w:rsidRPr="006A612F">
        <w:rPr>
          <w:smallCaps/>
          <w:color w:val="000000" w:themeColor="text1"/>
          <w:szCs w:val="17"/>
        </w:rPr>
        <w:t>Colo. R. Civ. P.</w:t>
      </w:r>
      <w:r w:rsidR="00315997" w:rsidRPr="006A612F">
        <w:rPr>
          <w:color w:val="000000" w:themeColor="text1"/>
          <w:szCs w:val="17"/>
        </w:rPr>
        <w:t xml:space="preserve"> 27 (Colorado); </w:t>
      </w:r>
      <w:r w:rsidR="00315997" w:rsidRPr="006A612F">
        <w:rPr>
          <w:smallCaps/>
          <w:color w:val="000000" w:themeColor="text1"/>
          <w:szCs w:val="17"/>
        </w:rPr>
        <w:t>Conn. Gen. Stat. Ann.</w:t>
      </w:r>
      <w:r w:rsidR="00315997" w:rsidRPr="006A612F">
        <w:rPr>
          <w:color w:val="000000" w:themeColor="text1"/>
          <w:szCs w:val="17"/>
        </w:rPr>
        <w:t xml:space="preserve"> § 52-156(a) (West) (Connecticut); </w:t>
      </w:r>
      <w:r w:rsidR="00315997" w:rsidRPr="006A612F">
        <w:rPr>
          <w:smallCaps/>
          <w:color w:val="000000" w:themeColor="text1"/>
          <w:szCs w:val="17"/>
        </w:rPr>
        <w:t>Fla. R. Civ. P. </w:t>
      </w:r>
      <w:r w:rsidR="00315997" w:rsidRPr="006A612F">
        <w:rPr>
          <w:color w:val="000000" w:themeColor="text1"/>
          <w:szCs w:val="17"/>
        </w:rPr>
        <w:t xml:space="preserve">1.290(a)(1) (Florida); </w:t>
      </w:r>
      <w:r w:rsidR="00315997" w:rsidRPr="006A612F">
        <w:rPr>
          <w:smallCaps/>
          <w:color w:val="000000" w:themeColor="text1"/>
          <w:szCs w:val="17"/>
        </w:rPr>
        <w:t>Ga. Code Ann</w:t>
      </w:r>
      <w:r w:rsidR="00315997" w:rsidRPr="006A612F">
        <w:rPr>
          <w:color w:val="000000" w:themeColor="text1"/>
          <w:szCs w:val="17"/>
        </w:rPr>
        <w:t xml:space="preserve">. § 9-11-27 (West) (Georgia); </w:t>
      </w:r>
      <w:r w:rsidR="00315997" w:rsidRPr="006A612F">
        <w:rPr>
          <w:smallCaps/>
          <w:color w:val="000000" w:themeColor="text1"/>
          <w:szCs w:val="17"/>
        </w:rPr>
        <w:t>Haw. R. Civ</w:t>
      </w:r>
      <w:r w:rsidR="00315997" w:rsidRPr="006A612F">
        <w:rPr>
          <w:color w:val="000000" w:themeColor="text1"/>
          <w:szCs w:val="17"/>
        </w:rPr>
        <w:t xml:space="preserve">. P. 27 (Hawaii); 735 </w:t>
      </w:r>
      <w:r w:rsidR="00315997" w:rsidRPr="006A612F">
        <w:rPr>
          <w:smallCaps/>
          <w:szCs w:val="17"/>
          <w:shd w:val="clear" w:color="auto" w:fill="FFFFFF"/>
        </w:rPr>
        <w:t>Ill. Comp. Stat. Ann. 5</w:t>
      </w:r>
      <w:r w:rsidRPr="006A612F">
        <w:rPr>
          <w:smallCaps/>
          <w:szCs w:val="17"/>
          <w:shd w:val="clear" w:color="auto" w:fill="FFFFFF"/>
        </w:rPr>
        <w:t>‌/</w:t>
      </w:r>
      <w:r w:rsidR="00315997" w:rsidRPr="006A612F">
        <w:rPr>
          <w:smallCaps/>
          <w:szCs w:val="17"/>
          <w:shd w:val="clear" w:color="auto" w:fill="FFFFFF"/>
        </w:rPr>
        <w:t xml:space="preserve">2-402 </w:t>
      </w:r>
      <w:r w:rsidR="00315997" w:rsidRPr="006A612F">
        <w:rPr>
          <w:szCs w:val="17"/>
          <w:shd w:val="clear" w:color="auto" w:fill="FFFFFF"/>
        </w:rPr>
        <w:t xml:space="preserve">(West) </w:t>
      </w:r>
      <w:r w:rsidR="00315997" w:rsidRPr="006A612F">
        <w:rPr>
          <w:color w:val="000000" w:themeColor="text1"/>
          <w:szCs w:val="17"/>
        </w:rPr>
        <w:t xml:space="preserve">(Illinois); </w:t>
      </w:r>
      <w:r w:rsidR="00315997" w:rsidRPr="006A612F">
        <w:rPr>
          <w:smallCaps/>
          <w:color w:val="000000" w:themeColor="text1"/>
          <w:szCs w:val="17"/>
        </w:rPr>
        <w:t>Ind. Trial R.</w:t>
      </w:r>
      <w:r w:rsidR="00315997" w:rsidRPr="006A612F">
        <w:rPr>
          <w:color w:val="000000" w:themeColor="text1"/>
          <w:szCs w:val="17"/>
        </w:rPr>
        <w:t xml:space="preserve"> 27 (Indiana); </w:t>
      </w:r>
      <w:r w:rsidR="00315997" w:rsidRPr="006A612F">
        <w:rPr>
          <w:smallCaps/>
          <w:color w:val="000000" w:themeColor="text1"/>
          <w:szCs w:val="17"/>
        </w:rPr>
        <w:t>Ky. R. Civ. P.</w:t>
      </w:r>
      <w:r w:rsidR="00315997" w:rsidRPr="006A612F">
        <w:rPr>
          <w:color w:val="000000" w:themeColor="text1"/>
          <w:szCs w:val="17"/>
        </w:rPr>
        <w:t xml:space="preserve"> 27.01(1) (Kentucky); </w:t>
      </w:r>
      <w:r w:rsidR="00315997" w:rsidRPr="006A612F">
        <w:rPr>
          <w:smallCaps/>
          <w:color w:val="000000" w:themeColor="text1"/>
          <w:szCs w:val="17"/>
        </w:rPr>
        <w:t xml:space="preserve">M.R. Civ. P. </w:t>
      </w:r>
      <w:r w:rsidR="00315997" w:rsidRPr="006A612F">
        <w:rPr>
          <w:color w:val="000000" w:themeColor="text1"/>
          <w:szCs w:val="17"/>
        </w:rPr>
        <w:t xml:space="preserve">27(a) (Maine); </w:t>
      </w:r>
      <w:r w:rsidR="00315997" w:rsidRPr="006A612F">
        <w:rPr>
          <w:smallCaps/>
          <w:color w:val="000000" w:themeColor="text1"/>
          <w:szCs w:val="17"/>
        </w:rPr>
        <w:t>Mass. R. Civ. P</w:t>
      </w:r>
      <w:r w:rsidR="00315997" w:rsidRPr="006A612F">
        <w:rPr>
          <w:color w:val="000000" w:themeColor="text1"/>
          <w:szCs w:val="17"/>
        </w:rPr>
        <w:t xml:space="preserve">. 27(a) (Massachusetts); MCR 2.303(A) (Michigan); </w:t>
      </w:r>
      <w:r w:rsidR="00315997" w:rsidRPr="006A612F">
        <w:rPr>
          <w:smallCaps/>
          <w:color w:val="000000" w:themeColor="text1"/>
          <w:szCs w:val="17"/>
        </w:rPr>
        <w:t>Minn. R. Civ. P.</w:t>
      </w:r>
      <w:r w:rsidR="00315997" w:rsidRPr="006A612F">
        <w:rPr>
          <w:color w:val="000000" w:themeColor="text1"/>
          <w:szCs w:val="17"/>
        </w:rPr>
        <w:t xml:space="preserve"> 27.01 (Minnesota); </w:t>
      </w:r>
      <w:r w:rsidR="00315997" w:rsidRPr="006A612F">
        <w:rPr>
          <w:smallCaps/>
          <w:color w:val="000000" w:themeColor="text1"/>
          <w:szCs w:val="17"/>
        </w:rPr>
        <w:t>Miss. R. Civ</w:t>
      </w:r>
      <w:r w:rsidR="00315997" w:rsidRPr="006A612F">
        <w:rPr>
          <w:color w:val="000000" w:themeColor="text1"/>
          <w:szCs w:val="17"/>
        </w:rPr>
        <w:t xml:space="preserve">. P. 27(a) (Mississippi); </w:t>
      </w:r>
      <w:r w:rsidR="00315997" w:rsidRPr="006A612F">
        <w:rPr>
          <w:smallCaps/>
          <w:color w:val="000000" w:themeColor="text1"/>
          <w:szCs w:val="17"/>
        </w:rPr>
        <w:t>N.J. Ct. R.</w:t>
      </w:r>
      <w:r w:rsidR="00315997" w:rsidRPr="006A612F">
        <w:rPr>
          <w:color w:val="000000" w:themeColor="text1"/>
          <w:szCs w:val="17"/>
        </w:rPr>
        <w:t xml:space="preserve"> 4:11-1 (New Jersey); NMRA 1-027 (New Mexico); N.Y. </w:t>
      </w:r>
      <w:r w:rsidR="00315997" w:rsidRPr="006A612F">
        <w:rPr>
          <w:smallCaps/>
          <w:color w:val="000000" w:themeColor="text1"/>
          <w:szCs w:val="17"/>
        </w:rPr>
        <w:t>C.P.</w:t>
      </w:r>
      <w:r w:rsidR="00315997" w:rsidRPr="006A612F">
        <w:rPr>
          <w:color w:val="000000" w:themeColor="text1"/>
          <w:szCs w:val="17"/>
        </w:rPr>
        <w:t xml:space="preserve">L.R. § 3201 (McKinney 2015) (New York); </w:t>
      </w:r>
      <w:r w:rsidR="00315997" w:rsidRPr="006A612F">
        <w:rPr>
          <w:smallCaps/>
          <w:color w:val="000000" w:themeColor="text1"/>
          <w:szCs w:val="17"/>
        </w:rPr>
        <w:t>N.C. R. Civ. Proc. Gen. Stat. Ann</w:t>
      </w:r>
      <w:r w:rsidR="00315997" w:rsidRPr="006A612F">
        <w:rPr>
          <w:color w:val="000000" w:themeColor="text1"/>
          <w:szCs w:val="17"/>
        </w:rPr>
        <w:t xml:space="preserve">. 1A-1, 27(a)(1) (North Carolina); </w:t>
      </w:r>
      <w:r w:rsidR="00315997" w:rsidRPr="006A612F">
        <w:rPr>
          <w:smallCaps/>
          <w:color w:val="000000" w:themeColor="text1"/>
          <w:szCs w:val="17"/>
        </w:rPr>
        <w:t>N.D. R. Civ. P</w:t>
      </w:r>
      <w:r w:rsidR="00315997" w:rsidRPr="006A612F">
        <w:rPr>
          <w:color w:val="000000" w:themeColor="text1"/>
          <w:szCs w:val="17"/>
        </w:rPr>
        <w:t xml:space="preserve">. 27(a)(1) (North Dakota); </w:t>
      </w:r>
      <w:r w:rsidR="00315997" w:rsidRPr="006A612F">
        <w:rPr>
          <w:smallCaps/>
          <w:color w:val="000000" w:themeColor="text1"/>
          <w:szCs w:val="17"/>
        </w:rPr>
        <w:t xml:space="preserve">Ohio Civ. R. </w:t>
      </w:r>
      <w:r w:rsidR="00315997" w:rsidRPr="006A612F">
        <w:rPr>
          <w:color w:val="000000" w:themeColor="text1"/>
          <w:szCs w:val="17"/>
        </w:rPr>
        <w:t xml:space="preserve">34(D)(1) (Ohio); </w:t>
      </w:r>
      <w:r w:rsidR="00315997" w:rsidRPr="006A612F">
        <w:rPr>
          <w:smallCaps/>
          <w:color w:val="000000" w:themeColor="text1"/>
          <w:szCs w:val="17"/>
        </w:rPr>
        <w:t>Okla. Stat. Ann. tit.</w:t>
      </w:r>
      <w:r w:rsidR="00315997" w:rsidRPr="006A612F">
        <w:rPr>
          <w:color w:val="000000" w:themeColor="text1"/>
          <w:szCs w:val="17"/>
        </w:rPr>
        <w:t xml:space="preserve"> 12, § 3227(A)(1) (West) (Oklahoma); </w:t>
      </w:r>
      <w:r w:rsidR="00315997" w:rsidRPr="006A612F">
        <w:rPr>
          <w:smallCaps/>
          <w:color w:val="000000" w:themeColor="text1"/>
          <w:szCs w:val="17"/>
        </w:rPr>
        <w:t>Or. R. Civ. P</w:t>
      </w:r>
      <w:r w:rsidR="00315997" w:rsidRPr="006A612F">
        <w:rPr>
          <w:color w:val="000000" w:themeColor="text1"/>
          <w:szCs w:val="17"/>
        </w:rPr>
        <w:t xml:space="preserve">. 37(A)(1) (Oregon); </w:t>
      </w:r>
      <w:r w:rsidR="00315997" w:rsidRPr="006A612F">
        <w:rPr>
          <w:smallCaps/>
          <w:color w:val="000000" w:themeColor="text1"/>
          <w:szCs w:val="17"/>
        </w:rPr>
        <w:t>Pa. R. Civ. P. 40</w:t>
      </w:r>
      <w:r w:rsidR="00315997" w:rsidRPr="006A612F">
        <w:rPr>
          <w:color w:val="000000" w:themeColor="text1"/>
          <w:szCs w:val="17"/>
        </w:rPr>
        <w:t xml:space="preserve">01(c) (Pennsylvania); R.I. </w:t>
      </w:r>
      <w:r w:rsidR="00315997" w:rsidRPr="006A612F">
        <w:rPr>
          <w:smallCaps/>
          <w:color w:val="000000" w:themeColor="text1"/>
          <w:szCs w:val="17"/>
        </w:rPr>
        <w:t>Super. R. Civ. P</w:t>
      </w:r>
      <w:r w:rsidR="00315997" w:rsidRPr="006A612F">
        <w:rPr>
          <w:color w:val="000000" w:themeColor="text1"/>
          <w:szCs w:val="17"/>
        </w:rPr>
        <w:t xml:space="preserve">. 27 (Rhode Island); S.C. R. </w:t>
      </w:r>
      <w:r w:rsidR="00315997" w:rsidRPr="006A612F">
        <w:rPr>
          <w:smallCaps/>
          <w:color w:val="000000" w:themeColor="text1"/>
          <w:szCs w:val="17"/>
        </w:rPr>
        <w:t>Civ</w:t>
      </w:r>
      <w:r w:rsidR="00315997" w:rsidRPr="006A612F">
        <w:rPr>
          <w:color w:val="000000" w:themeColor="text1"/>
          <w:szCs w:val="17"/>
        </w:rPr>
        <w:t xml:space="preserve">. P. 27(a)(1) (South Carolina); </w:t>
      </w:r>
      <w:r w:rsidR="00315997" w:rsidRPr="006A612F">
        <w:rPr>
          <w:smallCaps/>
          <w:color w:val="000000" w:themeColor="text1"/>
          <w:szCs w:val="17"/>
        </w:rPr>
        <w:t>Tenn. R. Civ</w:t>
      </w:r>
      <w:r w:rsidR="00315997" w:rsidRPr="006A612F">
        <w:rPr>
          <w:color w:val="000000" w:themeColor="text1"/>
          <w:szCs w:val="17"/>
        </w:rPr>
        <w:t>. P. 27.01 (Tennessee)</w:t>
      </w:r>
      <w:r w:rsidR="006C169D" w:rsidRPr="006A612F">
        <w:rPr>
          <w:color w:val="000000" w:themeColor="text1"/>
          <w:szCs w:val="17"/>
        </w:rPr>
        <w:t>;</w:t>
      </w:r>
      <w:r w:rsidR="00315997" w:rsidRPr="006A612F">
        <w:rPr>
          <w:color w:val="000000" w:themeColor="text1"/>
          <w:szCs w:val="17"/>
        </w:rPr>
        <w:t xml:space="preserve"> </w:t>
      </w:r>
      <w:r w:rsidR="00315997" w:rsidRPr="006A612F">
        <w:rPr>
          <w:smallCaps/>
          <w:color w:val="000000" w:themeColor="text1"/>
          <w:szCs w:val="17"/>
        </w:rPr>
        <w:t>Tex. R. Civ. P.</w:t>
      </w:r>
      <w:r w:rsidR="00315997" w:rsidRPr="006A612F">
        <w:rPr>
          <w:color w:val="000000" w:themeColor="text1"/>
          <w:szCs w:val="17"/>
        </w:rPr>
        <w:t xml:space="preserve"> 202 (Texas); </w:t>
      </w:r>
      <w:r w:rsidR="00315997" w:rsidRPr="006A612F">
        <w:rPr>
          <w:smallCaps/>
          <w:color w:val="000000" w:themeColor="text1"/>
          <w:szCs w:val="17"/>
        </w:rPr>
        <w:t>Utah R. Civ. P</w:t>
      </w:r>
      <w:r w:rsidR="00315997" w:rsidRPr="006A612F">
        <w:rPr>
          <w:color w:val="000000" w:themeColor="text1"/>
          <w:szCs w:val="17"/>
        </w:rPr>
        <w:t xml:space="preserve">. 27(a)(1) (Utah); </w:t>
      </w:r>
      <w:r w:rsidR="00315997" w:rsidRPr="006A612F">
        <w:rPr>
          <w:smallCaps/>
          <w:color w:val="000000" w:themeColor="text1"/>
          <w:szCs w:val="17"/>
        </w:rPr>
        <w:t>Vt. R. Civ</w:t>
      </w:r>
      <w:r w:rsidR="00315997" w:rsidRPr="006A612F">
        <w:rPr>
          <w:color w:val="000000" w:themeColor="text1"/>
          <w:szCs w:val="17"/>
        </w:rPr>
        <w:t>. P. 27 (Vermont); W</w:t>
      </w:r>
      <w:r w:rsidR="00315997" w:rsidRPr="006A612F">
        <w:rPr>
          <w:smallCaps/>
          <w:color w:val="000000" w:themeColor="text1"/>
          <w:szCs w:val="17"/>
        </w:rPr>
        <w:t>. Va. R. Civ.</w:t>
      </w:r>
      <w:r w:rsidR="00315997" w:rsidRPr="006A612F">
        <w:rPr>
          <w:color w:val="000000" w:themeColor="text1"/>
          <w:szCs w:val="17"/>
        </w:rPr>
        <w:t xml:space="preserve"> P. 27 (West Virginia).</w:t>
      </w:r>
    </w:p>
  </w:footnote>
  <w:footnote w:id="17">
    <w:p w14:paraId="2150C535" w14:textId="0E42DE45" w:rsidR="00315997" w:rsidRPr="006A612F" w:rsidRDefault="00BF278E" w:rsidP="00AA6ED0">
      <w:pPr>
        <w:pStyle w:val="FootNote"/>
        <w:spacing w:line="240" w:lineRule="auto"/>
        <w:rPr>
          <w:szCs w:val="17"/>
          <w:shd w:val="clear" w:color="auto" w:fill="FFFFFF"/>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Compare</w:t>
      </w:r>
      <w:r w:rsidR="00315997" w:rsidRPr="006A612F">
        <w:rPr>
          <w:szCs w:val="17"/>
        </w:rPr>
        <w:t xml:space="preserve"> </w:t>
      </w:r>
      <w:r w:rsidR="00315997" w:rsidRPr="006A612F">
        <w:rPr>
          <w:smallCaps/>
          <w:szCs w:val="17"/>
        </w:rPr>
        <w:t>Pa. R. Civ. P.</w:t>
      </w:r>
      <w:r w:rsidR="00315997" w:rsidRPr="006A612F">
        <w:rPr>
          <w:szCs w:val="17"/>
        </w:rPr>
        <w:t xml:space="preserve"> 4003.8(a) (allowing </w:t>
      </w:r>
      <w:r w:rsidR="00315997" w:rsidRPr="006A612F">
        <w:rPr>
          <w:szCs w:val="17"/>
          <w:shd w:val="clear" w:color="auto" w:fill="FFFFFF"/>
        </w:rPr>
        <w:t xml:space="preserve">a </w:t>
      </w:r>
      <w:r w:rsidRPr="006A612F">
        <w:rPr>
          <w:szCs w:val="17"/>
          <w:shd w:val="clear" w:color="auto" w:fill="FFFFFF"/>
        </w:rPr>
        <w:t>“</w:t>
      </w:r>
      <w:r w:rsidR="00315997" w:rsidRPr="006A612F">
        <w:rPr>
          <w:szCs w:val="17"/>
          <w:shd w:val="clear" w:color="auto" w:fill="FFFFFF"/>
        </w:rPr>
        <w:t>plaintiff [to] obtain</w:t>
      </w:r>
      <w:r w:rsidR="006C169D" w:rsidRPr="006A612F">
        <w:rPr>
          <w:szCs w:val="17"/>
          <w:shd w:val="clear" w:color="auto" w:fill="FFFFFF"/>
        </w:rPr>
        <w:t xml:space="preserve"> </w:t>
      </w:r>
      <w:r w:rsidR="00315997" w:rsidRPr="006A612F">
        <w:rPr>
          <w:szCs w:val="17"/>
          <w:shd w:val="clear" w:color="auto" w:fill="FFFFFF"/>
        </w:rPr>
        <w:t>pre-complaint</w:t>
      </w:r>
      <w:r w:rsidR="006C169D" w:rsidRPr="006A612F">
        <w:rPr>
          <w:szCs w:val="17"/>
          <w:shd w:val="clear" w:color="auto" w:fill="FFFFFF"/>
        </w:rPr>
        <w:t xml:space="preserve"> </w:t>
      </w:r>
      <w:r w:rsidR="00315997" w:rsidRPr="006A612F">
        <w:rPr>
          <w:szCs w:val="17"/>
          <w:shd w:val="clear" w:color="auto" w:fill="FFFFFF"/>
        </w:rPr>
        <w:t>discovery</w:t>
      </w:r>
      <w:r w:rsidR="006C169D" w:rsidRPr="006A612F">
        <w:rPr>
          <w:szCs w:val="17"/>
          <w:shd w:val="clear" w:color="auto" w:fill="FFFFFF"/>
        </w:rPr>
        <w:t xml:space="preserve"> </w:t>
      </w:r>
      <w:r w:rsidR="00315997" w:rsidRPr="006A612F">
        <w:rPr>
          <w:szCs w:val="17"/>
          <w:shd w:val="clear" w:color="auto" w:fill="FFFFFF"/>
        </w:rPr>
        <w:t>where the information sought is material and necessary to the filing of the complaint and the</w:t>
      </w:r>
      <w:r w:rsidR="006C169D" w:rsidRPr="006A612F">
        <w:rPr>
          <w:szCs w:val="17"/>
          <w:shd w:val="clear" w:color="auto" w:fill="FFFFFF"/>
        </w:rPr>
        <w:t xml:space="preserve"> </w:t>
      </w:r>
      <w:r w:rsidR="00315997" w:rsidRPr="006A612F">
        <w:rPr>
          <w:szCs w:val="17"/>
          <w:shd w:val="clear" w:color="auto" w:fill="FFFFFF"/>
        </w:rPr>
        <w:t>discovery will not cause unreasonable annoyance, embarrassment, oppression, burden, or expense to any person or party</w:t>
      </w:r>
      <w:r w:rsidRPr="006A612F">
        <w:rPr>
          <w:szCs w:val="17"/>
          <w:shd w:val="clear" w:color="auto" w:fill="FFFFFF"/>
        </w:rPr>
        <w:t>”</w:t>
      </w:r>
      <w:r w:rsidR="00315997" w:rsidRPr="006A612F">
        <w:rPr>
          <w:szCs w:val="17"/>
          <w:shd w:val="clear" w:color="auto" w:fill="FFFFFF"/>
        </w:rPr>
        <w:t xml:space="preserve">), </w:t>
      </w:r>
      <w:r w:rsidR="00315997" w:rsidRPr="006A612F">
        <w:rPr>
          <w:i/>
          <w:iCs/>
          <w:szCs w:val="17"/>
          <w:shd w:val="clear" w:color="auto" w:fill="FFFFFF"/>
        </w:rPr>
        <w:t xml:space="preserve">with </w:t>
      </w:r>
      <w:r w:rsidR="00315997" w:rsidRPr="006A612F">
        <w:rPr>
          <w:b/>
          <w:bCs/>
          <w:i/>
          <w:iCs/>
          <w:szCs w:val="17"/>
          <w:shd w:val="clear" w:color="auto" w:fill="FFFFFF"/>
        </w:rPr>
        <w:t> </w:t>
      </w:r>
      <w:r w:rsidR="00315997" w:rsidRPr="006A612F">
        <w:rPr>
          <w:smallCaps/>
          <w:szCs w:val="17"/>
          <w:shd w:val="clear" w:color="auto" w:fill="FFFFFF"/>
        </w:rPr>
        <w:t>Tex. R. Civ. P.</w:t>
      </w:r>
      <w:r w:rsidR="00315997" w:rsidRPr="006A612F">
        <w:rPr>
          <w:szCs w:val="17"/>
          <w:shd w:val="clear" w:color="auto" w:fill="FFFFFF"/>
        </w:rPr>
        <w:t xml:space="preserve"> 202 (granting broad power to investigate claims prior to filing), </w:t>
      </w:r>
      <w:r w:rsidR="00315997" w:rsidRPr="006A612F">
        <w:rPr>
          <w:i/>
          <w:iCs/>
          <w:szCs w:val="17"/>
          <w:shd w:val="clear" w:color="auto" w:fill="FFFFFF"/>
        </w:rPr>
        <w:t>and</w:t>
      </w:r>
      <w:r w:rsidR="00315997" w:rsidRPr="006A612F">
        <w:rPr>
          <w:szCs w:val="17"/>
          <w:shd w:val="clear" w:color="auto" w:fill="FFFFFF"/>
        </w:rPr>
        <w:t xml:space="preserve"> </w:t>
      </w:r>
      <w:r w:rsidR="00315997" w:rsidRPr="006A612F">
        <w:rPr>
          <w:smallCaps/>
          <w:szCs w:val="17"/>
          <w:shd w:val="clear" w:color="auto" w:fill="FFFFFF"/>
        </w:rPr>
        <w:t>Ill. Comp. Stat. Ann.</w:t>
      </w:r>
      <w:r w:rsidR="00315997" w:rsidRPr="006A612F">
        <w:rPr>
          <w:szCs w:val="17"/>
          <w:shd w:val="clear" w:color="auto" w:fill="FFFFFF"/>
        </w:rPr>
        <w:t xml:space="preserve"> 5</w:t>
      </w:r>
      <w:r w:rsidRPr="006A612F">
        <w:rPr>
          <w:szCs w:val="17"/>
          <w:shd w:val="clear" w:color="auto" w:fill="FFFFFF"/>
        </w:rPr>
        <w:t>‌/</w:t>
      </w:r>
      <w:r w:rsidR="00315997" w:rsidRPr="006A612F">
        <w:rPr>
          <w:szCs w:val="17"/>
          <w:shd w:val="clear" w:color="auto" w:fill="FFFFFF"/>
        </w:rPr>
        <w:t xml:space="preserve">2-402 (only allowing discovery in order to identify potential defendants). </w:t>
      </w:r>
      <w:r w:rsidR="00315997" w:rsidRPr="006A612F">
        <w:rPr>
          <w:color w:val="000000" w:themeColor="text1"/>
          <w:szCs w:val="17"/>
        </w:rPr>
        <w:t>Most commonly, states allow for pre-complaint depositions after a request for such is granted by a court. These depositions can be used to compile the facts necessary to file a complaint.</w:t>
      </w:r>
    </w:p>
  </w:footnote>
  <w:footnote w:id="18">
    <w:p w14:paraId="32AA4B03" w14:textId="1614B1C7"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132 </w:t>
      </w:r>
      <w:r w:rsidR="00315997" w:rsidRPr="006A612F">
        <w:rPr>
          <w:smallCaps/>
          <w:szCs w:val="17"/>
        </w:rPr>
        <w:t>Am. Jur.</w:t>
      </w:r>
      <w:r w:rsidR="00315997" w:rsidRPr="006A612F">
        <w:rPr>
          <w:szCs w:val="17"/>
        </w:rPr>
        <w:t xml:space="preserve"> 3</w:t>
      </w:r>
      <w:r w:rsidR="00315997" w:rsidRPr="006A612F">
        <w:rPr>
          <w:smallCaps/>
          <w:szCs w:val="17"/>
        </w:rPr>
        <w:t xml:space="preserve">d </w:t>
      </w:r>
      <w:r w:rsidR="00315997" w:rsidRPr="006A612F">
        <w:rPr>
          <w:i/>
          <w:iCs/>
          <w:szCs w:val="17"/>
        </w:rPr>
        <w:t>Proof of Facts</w:t>
      </w:r>
      <w:r w:rsidR="00315997" w:rsidRPr="006A612F">
        <w:rPr>
          <w:szCs w:val="17"/>
        </w:rPr>
        <w:t xml:space="preserve"> </w:t>
      </w:r>
      <w:r w:rsidR="00315997" w:rsidRPr="006A612F">
        <w:rPr>
          <w:szCs w:val="17"/>
          <w:shd w:val="clear" w:color="auto" w:fill="FFFFFF"/>
        </w:rPr>
        <w:t xml:space="preserve">§ 1, Westlaw </w:t>
      </w:r>
      <w:r w:rsidR="00315997" w:rsidRPr="006A612F">
        <w:rPr>
          <w:szCs w:val="17"/>
        </w:rPr>
        <w:t>(database updated September 2021).</w:t>
      </w:r>
    </w:p>
  </w:footnote>
  <w:footnote w:id="19">
    <w:p w14:paraId="4A0C73E0" w14:textId="24CB5CC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0">
    <w:p w14:paraId="5AC644A5" w14:textId="55D3D88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w:t>
      </w:r>
      <w:r w:rsidR="00315997" w:rsidRPr="006A612F">
        <w:rPr>
          <w:szCs w:val="17"/>
          <w:shd w:val="clear" w:color="auto" w:fill="FFFFFF"/>
        </w:rPr>
        <w:t>§ 15.</w:t>
      </w:r>
    </w:p>
  </w:footnote>
  <w:footnote w:id="21">
    <w:p w14:paraId="034459D8" w14:textId="1392F171" w:rsidR="00315997" w:rsidRPr="006A612F" w:rsidRDefault="00BF278E" w:rsidP="00AA6ED0">
      <w:pPr>
        <w:pStyle w:val="FootNote"/>
        <w:spacing w:line="240" w:lineRule="auto"/>
        <w:rPr>
          <w:rFonts w:eastAsia="Helvetica"/>
          <w:color w:val="004B91"/>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 xml:space="preserve">65 </w:t>
      </w:r>
      <w:r w:rsidR="00315997" w:rsidRPr="006A612F">
        <w:rPr>
          <w:smallCaps/>
          <w:szCs w:val="17"/>
        </w:rPr>
        <w:t>Pa. Stat. and Cons. Stat. Ann</w:t>
      </w:r>
      <w:r w:rsidR="00315997" w:rsidRPr="006A612F">
        <w:rPr>
          <w:szCs w:val="17"/>
        </w:rPr>
        <w:t>. § 67.708(b)(16)–</w:t>
      </w:r>
      <w:r w:rsidR="00315997" w:rsidRPr="006A612F">
        <w:rPr>
          <w:szCs w:val="17"/>
          <w:shd w:val="clear" w:color="auto" w:fill="FFFFFF"/>
        </w:rPr>
        <w:t>(17)</w:t>
      </w:r>
      <w:r w:rsidR="00315997" w:rsidRPr="006A612F">
        <w:rPr>
          <w:szCs w:val="17"/>
        </w:rPr>
        <w:t xml:space="preserve"> </w:t>
      </w:r>
      <w:r w:rsidR="00315997" w:rsidRPr="006A612F">
        <w:rPr>
          <w:szCs w:val="17"/>
          <w:shd w:val="clear" w:color="auto" w:fill="FFFFFF"/>
        </w:rPr>
        <w:t xml:space="preserve">(West 2009) (stating that information relating to criminal and non-criminal investigations are exempt from disclosure under the Pennsylvania Right to Know Act); 5 </w:t>
      </w:r>
      <w:r w:rsidR="00315997" w:rsidRPr="006A612F">
        <w:rPr>
          <w:smallCaps/>
          <w:szCs w:val="17"/>
          <w:shd w:val="clear" w:color="auto" w:fill="FFFFFF"/>
        </w:rPr>
        <w:t>Ill. Comp. Stat. Ann.</w:t>
      </w:r>
      <w:r w:rsidR="00315997" w:rsidRPr="006A612F">
        <w:rPr>
          <w:szCs w:val="17"/>
          <w:shd w:val="clear" w:color="auto" w:fill="FFFFFF"/>
        </w:rPr>
        <w:t xml:space="preserve"> § 140</w:t>
      </w:r>
      <w:r w:rsidRPr="006A612F">
        <w:rPr>
          <w:szCs w:val="17"/>
          <w:shd w:val="clear" w:color="auto" w:fill="FFFFFF"/>
        </w:rPr>
        <w:t>‌/</w:t>
      </w:r>
      <w:r w:rsidR="00315997" w:rsidRPr="006A612F">
        <w:rPr>
          <w:szCs w:val="17"/>
          <w:shd w:val="clear" w:color="auto" w:fill="FFFFFF"/>
        </w:rPr>
        <w:t xml:space="preserve">7(1)(c) (West 2021) (exempting personal information from public records that would constitute a </w:t>
      </w:r>
      <w:r w:rsidRPr="006A612F">
        <w:rPr>
          <w:szCs w:val="17"/>
          <w:shd w:val="clear" w:color="auto" w:fill="FFFFFF"/>
        </w:rPr>
        <w:t>“</w:t>
      </w:r>
      <w:r w:rsidR="00315997" w:rsidRPr="006A612F">
        <w:rPr>
          <w:szCs w:val="17"/>
          <w:shd w:val="clear" w:color="auto" w:fill="FFFFFF"/>
        </w:rPr>
        <w:t>clearly unwarranted invasion of personal privacy</w:t>
      </w:r>
      <w:r w:rsidRPr="006A612F">
        <w:rPr>
          <w:szCs w:val="17"/>
          <w:shd w:val="clear" w:color="auto" w:fill="FFFFFF"/>
        </w:rPr>
        <w:t>”</w:t>
      </w:r>
      <w:r w:rsidR="00315997" w:rsidRPr="006A612F">
        <w:rPr>
          <w:szCs w:val="17"/>
          <w:shd w:val="clear" w:color="auto" w:fill="FFFFFF"/>
        </w:rPr>
        <w:t xml:space="preserve"> from materials that can be obtained through</w:t>
      </w:r>
      <w:r w:rsidR="002C288A" w:rsidRPr="006A612F">
        <w:rPr>
          <w:szCs w:val="17"/>
          <w:shd w:val="clear" w:color="auto" w:fill="FFFFFF"/>
        </w:rPr>
        <w:t xml:space="preserve"> the</w:t>
      </w:r>
      <w:r w:rsidR="00315997" w:rsidRPr="006A612F">
        <w:rPr>
          <w:szCs w:val="17"/>
          <w:shd w:val="clear" w:color="auto" w:fill="FFFFFF"/>
        </w:rPr>
        <w:t xml:space="preserve"> Illinois Freedom of Information Act).</w:t>
      </w:r>
    </w:p>
  </w:footnote>
  <w:footnote w:id="22">
    <w:p w14:paraId="70375628" w14:textId="07003FE8"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42 </w:t>
      </w:r>
      <w:r w:rsidR="00315997" w:rsidRPr="006A612F">
        <w:rPr>
          <w:smallCaps/>
          <w:szCs w:val="17"/>
        </w:rPr>
        <w:t>Pa. Stat. and Cons. Stat. Ann</w:t>
      </w:r>
      <w:r w:rsidR="00315997" w:rsidRPr="006A612F">
        <w:rPr>
          <w:caps/>
          <w:szCs w:val="17"/>
        </w:rPr>
        <w:t>.</w:t>
      </w:r>
      <w:r w:rsidR="00315997" w:rsidRPr="006A612F">
        <w:rPr>
          <w:szCs w:val="17"/>
        </w:rPr>
        <w:t> § 67A02(b)</w:t>
      </w:r>
      <w:r w:rsidR="00315997" w:rsidRPr="006A612F">
        <w:rPr>
          <w:szCs w:val="17"/>
          <w:shd w:val="clear" w:color="auto" w:fill="FFFFFF"/>
        </w:rPr>
        <w:t> (West 2017) (</w:t>
      </w:r>
      <w:r w:rsidRPr="006A612F">
        <w:rPr>
          <w:szCs w:val="17"/>
          <w:shd w:val="clear" w:color="auto" w:fill="FFFFFF"/>
        </w:rPr>
        <w:t>“</w:t>
      </w:r>
      <w:r w:rsidR="00315997" w:rsidRPr="006A612F">
        <w:rPr>
          <w:szCs w:val="17"/>
          <w:shd w:val="clear" w:color="auto" w:fill="FFFFFF"/>
        </w:rPr>
        <w:t>Nothing in this chapter nor the Right-to-Know Law shall establish a right to production of an audio recording or video recording made inside a facility owned or operated by a law enforcement agency or to any communications between or within law enforcement agencies concerning an audio or video recording.</w:t>
      </w:r>
      <w:r w:rsidRPr="006A612F">
        <w:rPr>
          <w:szCs w:val="17"/>
          <w:shd w:val="clear" w:color="auto" w:fill="FFFFFF"/>
        </w:rPr>
        <w:t>”</w:t>
      </w:r>
      <w:r w:rsidR="00315997" w:rsidRPr="006A612F">
        <w:rPr>
          <w:szCs w:val="17"/>
          <w:shd w:val="clear" w:color="auto" w:fill="FFFFFF"/>
        </w:rPr>
        <w:t xml:space="preserve">); </w:t>
      </w:r>
      <w:r w:rsidR="00315997" w:rsidRPr="006A612F">
        <w:rPr>
          <w:smallCaps/>
          <w:szCs w:val="17"/>
          <w:shd w:val="clear" w:color="auto" w:fill="FFFFFF"/>
        </w:rPr>
        <w:t>Ill. Comp. Stat. Ann</w:t>
      </w:r>
      <w:r w:rsidR="00315997" w:rsidRPr="006A612F">
        <w:rPr>
          <w:szCs w:val="17"/>
          <w:shd w:val="clear" w:color="auto" w:fill="FFFFFF"/>
        </w:rPr>
        <w:t>. § 140</w:t>
      </w:r>
      <w:r w:rsidRPr="006A612F">
        <w:rPr>
          <w:szCs w:val="17"/>
          <w:shd w:val="clear" w:color="auto" w:fill="FFFFFF"/>
        </w:rPr>
        <w:t>‌/</w:t>
      </w:r>
      <w:r w:rsidR="00315997" w:rsidRPr="006A612F">
        <w:rPr>
          <w:szCs w:val="17"/>
          <w:shd w:val="clear" w:color="auto" w:fill="FFFFFF"/>
        </w:rPr>
        <w:t>7.5(k), (cc) (West 2021) (exempting law enforcement identification information compiled by law enforcement agencies as well as</w:t>
      </w:r>
      <w:r w:rsidR="006C169D" w:rsidRPr="006A612F">
        <w:rPr>
          <w:szCs w:val="17"/>
          <w:shd w:val="clear" w:color="auto" w:fill="FFFFFF"/>
        </w:rPr>
        <w:t xml:space="preserve"> </w:t>
      </w:r>
      <w:r w:rsidRPr="006A612F">
        <w:rPr>
          <w:szCs w:val="17"/>
          <w:shd w:val="clear" w:color="auto" w:fill="FFFFFF"/>
        </w:rPr>
        <w:t>“</w:t>
      </w:r>
      <w:r w:rsidR="00315997" w:rsidRPr="006A612F">
        <w:rPr>
          <w:szCs w:val="17"/>
          <w:shd w:val="clear" w:color="auto" w:fill="FFFFFF"/>
        </w:rPr>
        <w:t>[r]ecordings made under the Law Enforcement Officer-Worn Body Camera Act</w:t>
      </w:r>
      <w:r w:rsidRPr="006A612F">
        <w:rPr>
          <w:szCs w:val="17"/>
          <w:shd w:val="clear" w:color="auto" w:fill="FFFFFF"/>
        </w:rPr>
        <w:t>”</w:t>
      </w:r>
      <w:r w:rsidR="00315997" w:rsidRPr="006A612F">
        <w:rPr>
          <w:szCs w:val="17"/>
          <w:shd w:val="clear" w:color="auto" w:fill="FFFFFF"/>
        </w:rPr>
        <w:t xml:space="preserve"> from inspection and copying).</w:t>
      </w:r>
    </w:p>
  </w:footnote>
  <w:footnote w:id="23">
    <w:p w14:paraId="15F1408F" w14:textId="795E4851"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Chris Pagliarella, </w:t>
      </w:r>
      <w:r w:rsidR="00315997" w:rsidRPr="006A612F">
        <w:rPr>
          <w:i/>
          <w:szCs w:val="17"/>
        </w:rPr>
        <w:t>Police Body-Worn Camera Footage: A Question of Access</w:t>
      </w:r>
      <w:r w:rsidR="00315997" w:rsidRPr="006A612F">
        <w:rPr>
          <w:szCs w:val="17"/>
        </w:rPr>
        <w:t xml:space="preserve">, 34 </w:t>
      </w:r>
      <w:r w:rsidR="00315997" w:rsidRPr="006A612F">
        <w:rPr>
          <w:smallCaps/>
          <w:szCs w:val="17"/>
        </w:rPr>
        <w:t>Yale L. &amp; Pol</w:t>
      </w:r>
      <w:r w:rsidRPr="006A612F">
        <w:rPr>
          <w:smallCaps/>
          <w:szCs w:val="17"/>
        </w:rPr>
        <w:t>’</w:t>
      </w:r>
      <w:r w:rsidR="00315997" w:rsidRPr="006A612F">
        <w:rPr>
          <w:smallCaps/>
          <w:szCs w:val="17"/>
        </w:rPr>
        <w:t>y Rev.</w:t>
      </w:r>
      <w:r w:rsidR="00315997" w:rsidRPr="006A612F">
        <w:rPr>
          <w:szCs w:val="17"/>
        </w:rPr>
        <w:t xml:space="preserve"> 533, 540 (2016).</w:t>
      </w:r>
    </w:p>
  </w:footnote>
  <w:footnote w:id="24">
    <w:p w14:paraId="63467A73" w14:textId="49DB718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Bridget M. Synan, </w:t>
      </w:r>
      <w:r w:rsidR="00315997" w:rsidRPr="006A612F">
        <w:rPr>
          <w:i/>
          <w:iCs/>
          <w:szCs w:val="17"/>
        </w:rPr>
        <w:t>Police Body Camera Footage: It</w:t>
      </w:r>
      <w:r w:rsidRPr="006A612F">
        <w:rPr>
          <w:i/>
          <w:iCs/>
          <w:szCs w:val="17"/>
        </w:rPr>
        <w:t>’</w:t>
      </w:r>
      <w:r w:rsidR="00315997" w:rsidRPr="006A612F">
        <w:rPr>
          <w:i/>
          <w:iCs/>
          <w:szCs w:val="17"/>
        </w:rPr>
        <w:t>s Just Evidence</w:t>
      </w:r>
      <w:r w:rsidR="00315997" w:rsidRPr="006A612F">
        <w:rPr>
          <w:szCs w:val="17"/>
        </w:rPr>
        <w:t xml:space="preserve">, 57 </w:t>
      </w:r>
      <w:r w:rsidR="00315997" w:rsidRPr="006A612F">
        <w:rPr>
          <w:smallCaps/>
          <w:szCs w:val="17"/>
        </w:rPr>
        <w:t>Duq</w:t>
      </w:r>
      <w:r w:rsidR="00315997" w:rsidRPr="006A612F">
        <w:rPr>
          <w:szCs w:val="17"/>
        </w:rPr>
        <w:t xml:space="preserve">. L. </w:t>
      </w:r>
      <w:r w:rsidR="00315997" w:rsidRPr="006A612F">
        <w:rPr>
          <w:smallCaps/>
          <w:szCs w:val="17"/>
        </w:rPr>
        <w:t>Rev</w:t>
      </w:r>
      <w:r w:rsidR="00315997" w:rsidRPr="006A612F">
        <w:rPr>
          <w:szCs w:val="17"/>
        </w:rPr>
        <w:t>. 351, 373 (2019).</w:t>
      </w:r>
    </w:p>
  </w:footnote>
  <w:footnote w:id="25">
    <w:p w14:paraId="21D47914" w14:textId="16EF0CCF" w:rsidR="00315997" w:rsidRPr="006A612F" w:rsidRDefault="00BF278E" w:rsidP="00AA6ED0">
      <w:pPr>
        <w:pStyle w:val="FootNote"/>
        <w:spacing w:line="240" w:lineRule="auto"/>
        <w:rPr>
          <w:szCs w:val="17"/>
        </w:rPr>
      </w:pPr>
      <w:r w:rsidRPr="006A612F">
        <w:rPr>
          <w:color w:val="000000"/>
          <w:szCs w:val="17"/>
        </w:rPr>
        <w:fldChar w:fldCharType="begin"/>
      </w:r>
      <w:r w:rsidRPr="006A612F">
        <w:rPr>
          <w:color w:val="000000"/>
          <w:szCs w:val="17"/>
        </w:rPr>
        <w:instrText xml:space="preserve"> ADVANCE \r12 \* MERGEFORMAT </w:instrText>
      </w:r>
      <w:r w:rsidRPr="006A612F">
        <w:rPr>
          <w:color w:val="000000"/>
          <w:szCs w:val="17"/>
        </w:rPr>
        <w:fldChar w:fldCharType="end"/>
      </w:r>
      <w:r w:rsidR="00315997" w:rsidRPr="00732F34">
        <w:rPr>
          <w:rStyle w:val="NoterefInNote"/>
        </w:rPr>
        <w:footnoteRef/>
      </w:r>
      <w:r w:rsidRPr="00732F34">
        <w:rPr>
          <w:color w:val="000000"/>
          <w:szCs w:val="17"/>
        </w:rPr>
        <w:t>.</w:t>
      </w:r>
      <w:r w:rsidRPr="006A612F">
        <w:rPr>
          <w:color w:val="000000"/>
          <w:szCs w:val="17"/>
        </w:rPr>
        <w:fldChar w:fldCharType="begin"/>
      </w:r>
      <w:r w:rsidRPr="006A612F">
        <w:rPr>
          <w:color w:val="000000"/>
          <w:szCs w:val="17"/>
        </w:rPr>
        <w:instrText xml:space="preserve"> ADVANCE \r4 \* MERGEFORMAT </w:instrText>
      </w:r>
      <w:r w:rsidRPr="006A612F">
        <w:rPr>
          <w:color w:val="000000"/>
          <w:szCs w:val="17"/>
        </w:rPr>
        <w:fldChar w:fldCharType="end"/>
      </w:r>
      <w:r w:rsidR="00315997" w:rsidRPr="006A612F">
        <w:rPr>
          <w:color w:val="000000"/>
          <w:szCs w:val="17"/>
        </w:rPr>
        <w:t>David Trausch,</w:t>
      </w:r>
      <w:r w:rsidR="006C169D" w:rsidRPr="006A612F">
        <w:rPr>
          <w:color w:val="000000"/>
          <w:szCs w:val="17"/>
        </w:rPr>
        <w:t xml:space="preserve"> </w:t>
      </w:r>
      <w:r w:rsidR="00315997" w:rsidRPr="006A612F">
        <w:rPr>
          <w:i/>
          <w:iCs/>
          <w:color w:val="000000"/>
          <w:szCs w:val="17"/>
          <w:bdr w:val="none" w:sz="0" w:space="0" w:color="auto" w:frame="1"/>
        </w:rPr>
        <w:t>Real Transparency: Increased Public Access to Police Body-Camera Footage in Texas</w:t>
      </w:r>
      <w:r w:rsidR="00315997" w:rsidRPr="006A612F">
        <w:rPr>
          <w:color w:val="000000"/>
          <w:szCs w:val="17"/>
        </w:rPr>
        <w:t xml:space="preserve">, 60 S. </w:t>
      </w:r>
      <w:r w:rsidR="00315997" w:rsidRPr="006A612F">
        <w:rPr>
          <w:smallCaps/>
          <w:color w:val="000000"/>
          <w:szCs w:val="17"/>
        </w:rPr>
        <w:t>Tex. L. Rev</w:t>
      </w:r>
      <w:r w:rsidR="00315997" w:rsidRPr="006A612F">
        <w:rPr>
          <w:color w:val="000000"/>
          <w:szCs w:val="17"/>
        </w:rPr>
        <w:t>. 373, 389 (2019)</w:t>
      </w:r>
      <w:r w:rsidR="00315997" w:rsidRPr="006A612F">
        <w:rPr>
          <w:color w:val="000000" w:themeColor="text1"/>
          <w:szCs w:val="17"/>
        </w:rPr>
        <w:t>;</w:t>
      </w:r>
      <w:r w:rsidR="00315997" w:rsidRPr="006A612F">
        <w:rPr>
          <w:i/>
          <w:iCs/>
          <w:color w:val="000000" w:themeColor="text1"/>
          <w:szCs w:val="17"/>
        </w:rPr>
        <w:t xml:space="preserve"> see </w:t>
      </w:r>
      <w:r w:rsidR="00315997" w:rsidRPr="006A612F">
        <w:rPr>
          <w:i/>
          <w:iCs/>
          <w:color w:val="000000" w:themeColor="text1"/>
          <w:szCs w:val="17"/>
          <w:shd w:val="clear" w:color="auto" w:fill="FFFFFF"/>
        </w:rPr>
        <w:t>Body-Worn Camera Laws</w:t>
      </w:r>
      <w:r w:rsidR="00315997" w:rsidRPr="006A612F">
        <w:rPr>
          <w:color w:val="000000" w:themeColor="text1"/>
          <w:szCs w:val="17"/>
          <w:shd w:val="clear" w:color="auto" w:fill="FFFFFF"/>
        </w:rPr>
        <w:t xml:space="preserve"> </w:t>
      </w:r>
      <w:r w:rsidR="00315997" w:rsidRPr="006A612F">
        <w:rPr>
          <w:i/>
          <w:iCs/>
          <w:color w:val="000000" w:themeColor="text1"/>
          <w:szCs w:val="17"/>
          <w:shd w:val="clear" w:color="auto" w:fill="FFFFFF"/>
        </w:rPr>
        <w:t>Database</w:t>
      </w:r>
      <w:r w:rsidR="00315997" w:rsidRPr="006A612F">
        <w:rPr>
          <w:color w:val="000000" w:themeColor="text1"/>
          <w:szCs w:val="17"/>
          <w:shd w:val="clear" w:color="auto" w:fill="FFFFFF"/>
        </w:rPr>
        <w:t xml:space="preserve">, </w:t>
      </w:r>
      <w:r w:rsidR="00315997" w:rsidRPr="006A612F">
        <w:rPr>
          <w:smallCaps/>
          <w:color w:val="000000" w:themeColor="text1"/>
          <w:szCs w:val="17"/>
          <w:shd w:val="clear" w:color="auto" w:fill="FFFFFF"/>
        </w:rPr>
        <w:t>Nat</w:t>
      </w:r>
      <w:r w:rsidRPr="006A612F">
        <w:rPr>
          <w:smallCaps/>
          <w:color w:val="000000" w:themeColor="text1"/>
          <w:szCs w:val="17"/>
          <w:shd w:val="clear" w:color="auto" w:fill="FFFFFF"/>
        </w:rPr>
        <w:t>’</w:t>
      </w:r>
      <w:r w:rsidR="00315997" w:rsidRPr="006A612F">
        <w:rPr>
          <w:smallCaps/>
          <w:color w:val="000000" w:themeColor="text1"/>
          <w:szCs w:val="17"/>
          <w:shd w:val="clear" w:color="auto" w:fill="FFFFFF"/>
        </w:rPr>
        <w:t xml:space="preserve">l Conf. State Legislatures </w:t>
      </w:r>
      <w:r w:rsidR="00315997" w:rsidRPr="006A612F">
        <w:rPr>
          <w:color w:val="000000" w:themeColor="text1"/>
          <w:szCs w:val="17"/>
          <w:shd w:val="clear" w:color="auto" w:fill="FFFFFF"/>
        </w:rPr>
        <w:t xml:space="preserve">(Feb. 28, 2018), </w:t>
      </w:r>
      <w:r w:rsidRPr="006A612F">
        <w:rPr>
          <w:color w:val="000000" w:themeColor="text1"/>
          <w:szCs w:val="17"/>
          <w:shd w:val="clear" w:color="auto" w:fill="FFFFFF"/>
        </w:rPr>
        <w:t>https://‌</w:t>
      </w:r>
      <w:r w:rsidR="00315997" w:rsidRPr="006A612F">
        <w:rPr>
          <w:color w:val="000000" w:themeColor="text1"/>
          <w:szCs w:val="17"/>
          <w:shd w:val="clear" w:color="auto" w:fill="FFFFFF"/>
        </w:rPr>
        <w:t>www.ncsl.org</w:t>
      </w:r>
      <w:r w:rsidRPr="006A612F">
        <w:rPr>
          <w:color w:val="000000" w:themeColor="text1"/>
          <w:szCs w:val="17"/>
          <w:shd w:val="clear" w:color="auto" w:fill="FFFFFF"/>
        </w:rPr>
        <w:t>‌/</w:t>
      </w:r>
      <w:r w:rsidR="00315997" w:rsidRPr="006A612F">
        <w:rPr>
          <w:color w:val="000000" w:themeColor="text1"/>
          <w:szCs w:val="17"/>
          <w:shd w:val="clear" w:color="auto" w:fill="FFFFFF"/>
        </w:rPr>
        <w:t>research</w:t>
      </w:r>
      <w:r w:rsidRPr="006A612F">
        <w:rPr>
          <w:color w:val="000000" w:themeColor="text1"/>
          <w:szCs w:val="17"/>
          <w:shd w:val="clear" w:color="auto" w:fill="FFFFFF"/>
        </w:rPr>
        <w:t>‌/</w:t>
      </w:r>
      <w:r w:rsidR="00315997" w:rsidRPr="006A612F">
        <w:rPr>
          <w:color w:val="000000" w:themeColor="text1"/>
          <w:szCs w:val="17"/>
          <w:shd w:val="clear" w:color="auto" w:fill="FFFFFF"/>
        </w:rPr>
        <w:t>civil-and-criminal-justice</w:t>
      </w:r>
      <w:r w:rsidRPr="006A612F">
        <w:rPr>
          <w:color w:val="000000" w:themeColor="text1"/>
          <w:szCs w:val="17"/>
          <w:shd w:val="clear" w:color="auto" w:fill="FFFFFF"/>
        </w:rPr>
        <w:t>‌/</w:t>
      </w:r>
      <w:r w:rsidR="00315997" w:rsidRPr="006A612F">
        <w:rPr>
          <w:color w:val="000000" w:themeColor="text1"/>
          <w:szCs w:val="17"/>
          <w:shd w:val="clear" w:color="auto" w:fill="FFFFFF"/>
        </w:rPr>
        <w:t>body-worn-cameras-interactive-graphic.aspx#</w:t>
      </w:r>
      <w:r w:rsidRPr="006A612F">
        <w:rPr>
          <w:color w:val="000000" w:themeColor="text1"/>
          <w:szCs w:val="17"/>
          <w:shd w:val="clear" w:color="auto" w:fill="FFFFFF"/>
        </w:rPr>
        <w:t>‌/</w:t>
      </w:r>
      <w:r w:rsidR="00315997" w:rsidRPr="006A612F">
        <w:rPr>
          <w:color w:val="000000" w:themeColor="text1"/>
          <w:szCs w:val="17"/>
          <w:shd w:val="clear" w:color="auto" w:fill="FFFFFF"/>
        </w:rPr>
        <w:t xml:space="preserve"> [</w:t>
      </w:r>
      <w:r w:rsidRPr="006A612F">
        <w:rPr>
          <w:color w:val="000000" w:themeColor="text1"/>
          <w:szCs w:val="17"/>
          <w:shd w:val="clear" w:color="auto" w:fill="FFFFFF"/>
        </w:rPr>
        <w:t>https://‌</w:t>
      </w:r>
      <w:r w:rsidR="00315997" w:rsidRPr="006A612F">
        <w:rPr>
          <w:color w:val="000000" w:themeColor="text1"/>
          <w:szCs w:val="17"/>
          <w:shd w:val="clear" w:color="auto" w:fill="FFFFFF"/>
        </w:rPr>
        <w:t>perma.cc</w:t>
      </w:r>
      <w:r w:rsidRPr="006A612F">
        <w:rPr>
          <w:color w:val="000000" w:themeColor="text1"/>
          <w:szCs w:val="17"/>
          <w:shd w:val="clear" w:color="auto" w:fill="FFFFFF"/>
        </w:rPr>
        <w:t>‌/</w:t>
      </w:r>
      <w:r w:rsidR="00315997" w:rsidRPr="006A612F">
        <w:rPr>
          <w:color w:val="000000" w:themeColor="text1"/>
          <w:szCs w:val="17"/>
          <w:shd w:val="clear" w:color="auto" w:fill="FFFFFF"/>
        </w:rPr>
        <w:t xml:space="preserve">RVD8-GJGQ] (providing a state-by-state overview of body-worn camera laws); </w:t>
      </w:r>
      <w:r w:rsidR="00315997" w:rsidRPr="006A612F">
        <w:rPr>
          <w:i/>
          <w:iCs/>
          <w:color w:val="000000" w:themeColor="text1"/>
          <w:szCs w:val="17"/>
          <w:shd w:val="clear" w:color="auto" w:fill="FFFFFF"/>
        </w:rPr>
        <w:t xml:space="preserve">see also </w:t>
      </w:r>
      <w:r w:rsidR="00315997" w:rsidRPr="006A612F">
        <w:rPr>
          <w:color w:val="000000" w:themeColor="text1"/>
          <w:szCs w:val="17"/>
        </w:rPr>
        <w:t xml:space="preserve">42 </w:t>
      </w:r>
      <w:r w:rsidR="00315997" w:rsidRPr="006A612F">
        <w:rPr>
          <w:smallCaps/>
          <w:color w:val="000000" w:themeColor="text1"/>
          <w:szCs w:val="17"/>
        </w:rPr>
        <w:t xml:space="preserve">Pa. Stat. and Cons. Stat. Ann. </w:t>
      </w:r>
      <w:r w:rsidR="00315997" w:rsidRPr="006A612F">
        <w:rPr>
          <w:color w:val="000000" w:themeColor="text1"/>
          <w:szCs w:val="17"/>
          <w:shd w:val="clear" w:color="auto" w:fill="FFFFFF"/>
        </w:rPr>
        <w:t>§</w:t>
      </w:r>
      <w:r w:rsidR="00315997" w:rsidRPr="006A612F">
        <w:rPr>
          <w:color w:val="000000" w:themeColor="text1"/>
          <w:szCs w:val="17"/>
        </w:rPr>
        <w:t xml:space="preserve"> 67A02 (West 2017) (stating that the Right-to-Know Law does not apply to </w:t>
      </w:r>
      <w:r w:rsidR="00315997" w:rsidRPr="006A612F">
        <w:rPr>
          <w:color w:val="000000" w:themeColor="text1"/>
          <w:szCs w:val="17"/>
          <w:shd w:val="clear" w:color="auto" w:fill="FFFFFF"/>
        </w:rPr>
        <w:t>any audio recording or video recording made by a law enforcement agency).</w:t>
      </w:r>
    </w:p>
  </w:footnote>
  <w:footnote w:id="26">
    <w:p w14:paraId="6F35ABEF" w14:textId="14F6AD2D"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Nat</w:t>
      </w:r>
      <w:r w:rsidRPr="006A612F">
        <w:rPr>
          <w:smallCaps/>
          <w:szCs w:val="17"/>
        </w:rPr>
        <w:t>’</w:t>
      </w:r>
      <w:r w:rsidR="00315997" w:rsidRPr="006A612F">
        <w:rPr>
          <w:smallCaps/>
          <w:szCs w:val="17"/>
        </w:rPr>
        <w:t>l Conf. State Legislatures</w:t>
      </w:r>
      <w:r w:rsidR="00315997" w:rsidRPr="006A612F">
        <w:rPr>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_Ref92290887 \h  \* MERGEFORMAT </w:instrText>
      </w:r>
      <w:r w:rsidR="00315997" w:rsidRPr="006A612F">
        <w:rPr>
          <w:szCs w:val="17"/>
        </w:rPr>
      </w:r>
      <w:r w:rsidR="00315997" w:rsidRPr="006A612F">
        <w:rPr>
          <w:szCs w:val="17"/>
        </w:rPr>
        <w:fldChar w:fldCharType="separate"/>
      </w:r>
      <w:r w:rsidR="00AA6ED0" w:rsidRPr="006A612F">
        <w:rPr>
          <w:szCs w:val="17"/>
        </w:rPr>
        <w:t>23</w:t>
      </w:r>
      <w:r w:rsidR="00315997" w:rsidRPr="006A612F">
        <w:rPr>
          <w:szCs w:val="17"/>
        </w:rPr>
        <w:fldChar w:fldCharType="end"/>
      </w:r>
      <w:r w:rsidR="00315997" w:rsidRPr="006A612F">
        <w:rPr>
          <w:szCs w:val="17"/>
        </w:rPr>
        <w:t>.</w:t>
      </w:r>
    </w:p>
  </w:footnote>
  <w:footnote w:id="27">
    <w:p w14:paraId="7911EE73" w14:textId="2B5AB16E"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8">
    <w:p w14:paraId="3FF5B115" w14:textId="1E05001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9">
    <w:p w14:paraId="4F973D7B" w14:textId="6862552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30">
    <w:p w14:paraId="781E8321" w14:textId="627F5B0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31">
    <w:p w14:paraId="459974F6" w14:textId="7CE65FF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w:t>
      </w:r>
      <w:r w:rsidR="00315997" w:rsidRPr="006A612F">
        <w:rPr>
          <w:i/>
          <w:szCs w:val="17"/>
        </w:rPr>
        <w:t>see also</w:t>
      </w:r>
      <w:r w:rsidR="00315997" w:rsidRPr="006A612F">
        <w:rPr>
          <w:szCs w:val="17"/>
        </w:rPr>
        <w:t xml:space="preserve"> </w:t>
      </w:r>
      <w:r w:rsidR="00315997" w:rsidRPr="006A612F">
        <w:rPr>
          <w:smallCaps/>
          <w:szCs w:val="17"/>
        </w:rPr>
        <w:t xml:space="preserve">Conn. Gen. Stat. Ann. </w:t>
      </w:r>
      <w:r w:rsidR="00315997" w:rsidRPr="006A612F">
        <w:rPr>
          <w:szCs w:val="17"/>
        </w:rPr>
        <w:t>§ 1-210(b)(3) (West 2018) (listing situations in which disclosure is prohibited even when the public interest is concerned).</w:t>
      </w:r>
    </w:p>
  </w:footnote>
  <w:footnote w:id="32">
    <w:p w14:paraId="2B28D178" w14:textId="2ACC994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See John Doe</w:t>
      </w:r>
      <w:r w:rsidR="00315997" w:rsidRPr="006A612F">
        <w:rPr>
          <w:szCs w:val="17"/>
        </w:rPr>
        <w:t xml:space="preserve">, </w:t>
      </w:r>
      <w:r w:rsidR="00315997" w:rsidRPr="006A612F">
        <w:rPr>
          <w:smallCaps/>
          <w:szCs w:val="17"/>
        </w:rPr>
        <w:t>Black</w:t>
      </w:r>
      <w:r w:rsidRPr="006A612F">
        <w:rPr>
          <w:smallCaps/>
          <w:szCs w:val="17"/>
        </w:rPr>
        <w:t>’</w:t>
      </w:r>
      <w:r w:rsidR="00315997" w:rsidRPr="006A612F">
        <w:rPr>
          <w:smallCaps/>
          <w:szCs w:val="17"/>
        </w:rPr>
        <w:t>s Law Dictionary</w:t>
      </w:r>
      <w:r w:rsidR="00315997" w:rsidRPr="006A612F">
        <w:rPr>
          <w:szCs w:val="17"/>
        </w:rPr>
        <w:t xml:space="preserve"> (11th ed. 2019) (</w:t>
      </w:r>
      <w:r w:rsidRPr="006A612F">
        <w:rPr>
          <w:szCs w:val="17"/>
        </w:rPr>
        <w:t>“</w:t>
      </w:r>
      <w:r w:rsidR="00315997" w:rsidRPr="006A612F">
        <w:rPr>
          <w:szCs w:val="17"/>
        </w:rPr>
        <w:t>John Doe</w:t>
      </w:r>
      <w:r w:rsidRPr="006A612F">
        <w:rPr>
          <w:szCs w:val="17"/>
        </w:rPr>
        <w:t>”</w:t>
      </w:r>
      <w:r w:rsidR="00315997" w:rsidRPr="006A612F">
        <w:rPr>
          <w:szCs w:val="17"/>
        </w:rPr>
        <w:t xml:space="preserve"> is a </w:t>
      </w:r>
      <w:r w:rsidRPr="006A612F">
        <w:rPr>
          <w:szCs w:val="17"/>
        </w:rPr>
        <w:t>“</w:t>
      </w:r>
      <w:r w:rsidR="00315997" w:rsidRPr="006A612F">
        <w:rPr>
          <w:szCs w:val="17"/>
        </w:rPr>
        <w:t>fictitious name used in a legal proceeding to designate a person whose identity is unknown</w:t>
      </w:r>
      <w:r w:rsidRPr="006A612F">
        <w:rPr>
          <w:szCs w:val="17"/>
        </w:rPr>
        <w:t>”</w:t>
      </w:r>
      <w:r w:rsidR="00315997" w:rsidRPr="006A612F">
        <w:rPr>
          <w:szCs w:val="17"/>
        </w:rPr>
        <w:t>).</w:t>
      </w:r>
    </w:p>
  </w:footnote>
  <w:footnote w:id="33">
    <w:p w14:paraId="15293147" w14:textId="429330DF"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I selected these four states because they have relatively similar population numbers yet are situated in different geographical areas of the country. Arizona initially was included but ultimately was eliminated because just six Doe cases were filed in federal courts in Arizona during the relevant period. The almost complete absence of Doe cases in Arizona is, in and of itself, both surprising and interesting and very well may become the basis for a future article.</w:t>
      </w:r>
      <w:r w:rsidR="006A612F" w:rsidRPr="006A612F">
        <w:rPr>
          <w:szCs w:val="17"/>
        </w:rPr>
        <w:t xml:space="preserve"> </w:t>
      </w:r>
      <w:r w:rsidR="00315997" w:rsidRPr="006A612F">
        <w:rPr>
          <w:szCs w:val="17"/>
        </w:rPr>
        <w:t xml:space="preserve">The categories used are based on the federal nature of suit categories. When filing a civil complaint in federal court, plaintiffs must complete a </w:t>
      </w:r>
      <w:r w:rsidRPr="006A612F">
        <w:rPr>
          <w:szCs w:val="17"/>
        </w:rPr>
        <w:t>“</w:t>
      </w:r>
      <w:r w:rsidR="00315997" w:rsidRPr="006A612F">
        <w:rPr>
          <w:szCs w:val="17"/>
        </w:rPr>
        <w:t>civil cover sheet,</w:t>
      </w:r>
      <w:r w:rsidRPr="006A612F">
        <w:rPr>
          <w:szCs w:val="17"/>
        </w:rPr>
        <w:t>”</w:t>
      </w:r>
      <w:r w:rsidR="00315997" w:rsidRPr="006A612F">
        <w:rPr>
          <w:szCs w:val="17"/>
        </w:rPr>
        <w:t xml:space="preserve"> which includes selecting from a list of categories the nature of their suit. The categories listed on the civil cover sheet are the categories we have used in compiling our data.</w:t>
      </w:r>
      <w:r w:rsidR="006A612F" w:rsidRPr="006A612F">
        <w:rPr>
          <w:szCs w:val="17"/>
        </w:rPr>
        <w:t xml:space="preserve"> </w:t>
      </w:r>
      <w:r w:rsidR="00315997" w:rsidRPr="006A612F">
        <w:rPr>
          <w:szCs w:val="17"/>
        </w:rPr>
        <w:t xml:space="preserve">Plaintiffs filed a total of 1,180 cases against Doe defendants during the relevant time period. Categories where fewer than 12 cases were filed have been aggregated into an </w:t>
      </w:r>
      <w:r w:rsidRPr="006A612F">
        <w:rPr>
          <w:szCs w:val="17"/>
        </w:rPr>
        <w:t>“</w:t>
      </w:r>
      <w:r w:rsidR="00315997" w:rsidRPr="006A612F">
        <w:rPr>
          <w:szCs w:val="17"/>
        </w:rPr>
        <w:t>other</w:t>
      </w:r>
      <w:r w:rsidRPr="006A612F">
        <w:rPr>
          <w:szCs w:val="17"/>
        </w:rPr>
        <w:t>”</w:t>
      </w:r>
      <w:r w:rsidR="00315997" w:rsidRPr="006A612F">
        <w:rPr>
          <w:szCs w:val="17"/>
        </w:rPr>
        <w:t xml:space="preserve"> category.</w:t>
      </w:r>
    </w:p>
  </w:footnote>
  <w:footnote w:id="34">
    <w:p w14:paraId="024796FB" w14:textId="23C6A531"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All 106 copyright claims in Pennsylvania stem from two plaintiffs. These two plaintiffs own adult films which can be accessed online. They have brought 106 claims against defendants who have illegally downloaded or distributed their adult films. They are brought against Doe defendants as the technology used to track down an illegal download only supplies the plaintiffs with the IP address of the computer used to complete the download, rather than the name of the individual who downloaded the media. This forces the copyright owners to file claims against Doe defendants until the IP addresses can be linked with their users through the process of discovery. The plaintiffs had no clear relationship with the defendants prior to the breach.</w:t>
      </w:r>
      <w:r w:rsidR="006A612F" w:rsidRPr="006A612F">
        <w:rPr>
          <w:szCs w:val="17"/>
        </w:rPr>
        <w:t xml:space="preserve"> </w:t>
      </w:r>
      <w:r w:rsidR="00315997" w:rsidRPr="006A612F">
        <w:rPr>
          <w:szCs w:val="17"/>
        </w:rPr>
        <w:t xml:space="preserve">Similarly, the large number of Copyright cases in Illinois are also the result of the online-illegal download of multi-media content. As with Pennsylvania, corporations who own movies, such as </w:t>
      </w:r>
      <w:r w:rsidRPr="006A612F">
        <w:rPr>
          <w:szCs w:val="17"/>
        </w:rPr>
        <w:t>“</w:t>
      </w:r>
      <w:r w:rsidR="00315997" w:rsidRPr="006A612F">
        <w:rPr>
          <w:szCs w:val="17"/>
        </w:rPr>
        <w:t>Angel Has Fallen</w:t>
      </w:r>
      <w:r w:rsidRPr="006A612F">
        <w:rPr>
          <w:szCs w:val="17"/>
        </w:rPr>
        <w:t>”</w:t>
      </w:r>
      <w:r w:rsidR="00315997" w:rsidRPr="006A612F">
        <w:rPr>
          <w:szCs w:val="17"/>
        </w:rPr>
        <w:t xml:space="preserve"> in one Illinois case, sued individuals who illegally downloaded their copyrighted content. All 156 Illinois cases were brought by just seven plaintiffs, two of which were the same plaintiffs who brought all 106 of Pennsylvania</w:t>
      </w:r>
      <w:r w:rsidRPr="006A612F">
        <w:rPr>
          <w:szCs w:val="17"/>
        </w:rPr>
        <w:t>’</w:t>
      </w:r>
      <w:r w:rsidR="00315997" w:rsidRPr="006A612F">
        <w:rPr>
          <w:szCs w:val="17"/>
        </w:rPr>
        <w:t>s claims.</w:t>
      </w:r>
    </w:p>
  </w:footnote>
  <w:footnote w:id="35">
    <w:p w14:paraId="0F77C020" w14:textId="5268487B" w:rsidR="00315997" w:rsidRPr="006A612F" w:rsidRDefault="00BF278E" w:rsidP="00AA6ED0">
      <w:pPr>
        <w:pStyle w:val="FootNote"/>
        <w:spacing w:line="240" w:lineRule="auto"/>
        <w:rPr>
          <w:szCs w:val="17"/>
        </w:rPr>
      </w:pPr>
      <w:r w:rsidRPr="006A612F">
        <w:rPr>
          <w:i/>
          <w:color w:val="000000" w:themeColor="text1"/>
          <w:szCs w:val="17"/>
        </w:rPr>
        <w:fldChar w:fldCharType="begin"/>
      </w:r>
      <w:r w:rsidRPr="006A612F">
        <w:rPr>
          <w:i/>
          <w:color w:val="000000" w:themeColor="text1"/>
          <w:szCs w:val="17"/>
        </w:rPr>
        <w:instrText xml:space="preserve"> ADVANCE \r12 \* MERGEFORMAT </w:instrText>
      </w:r>
      <w:r w:rsidRPr="006A612F">
        <w:rPr>
          <w:i/>
          <w:color w:val="000000" w:themeColor="text1"/>
          <w:szCs w:val="17"/>
        </w:rPr>
        <w:fldChar w:fldCharType="end"/>
      </w:r>
      <w:r w:rsidR="00315997" w:rsidRPr="00732F34">
        <w:rPr>
          <w:rStyle w:val="NoterefInNote"/>
        </w:rPr>
        <w:footnoteRef/>
      </w:r>
      <w:r w:rsidRPr="00732F34">
        <w:rPr>
          <w:color w:val="000000" w:themeColor="text1"/>
          <w:szCs w:val="17"/>
        </w:rPr>
        <w:t>.</w:t>
      </w:r>
      <w:r w:rsidRPr="006A612F">
        <w:rPr>
          <w:i/>
          <w:color w:val="000000" w:themeColor="text1"/>
          <w:szCs w:val="17"/>
        </w:rPr>
        <w:fldChar w:fldCharType="begin"/>
      </w:r>
      <w:r w:rsidRPr="006A612F">
        <w:rPr>
          <w:i/>
          <w:color w:val="000000" w:themeColor="text1"/>
          <w:szCs w:val="17"/>
        </w:rPr>
        <w:instrText xml:space="preserve"> ADVANCE \r4 \* MERGEFORMAT </w:instrText>
      </w:r>
      <w:r w:rsidRPr="006A612F">
        <w:rPr>
          <w:i/>
          <w:color w:val="000000" w:themeColor="text1"/>
          <w:szCs w:val="17"/>
        </w:rPr>
        <w:fldChar w:fldCharType="end"/>
      </w:r>
      <w:r w:rsidR="00315997" w:rsidRPr="006A612F">
        <w:rPr>
          <w:i/>
          <w:color w:val="000000" w:themeColor="text1"/>
          <w:szCs w:val="17"/>
        </w:rPr>
        <w:t>See</w:t>
      </w:r>
      <w:r w:rsidR="00315997" w:rsidRPr="006A612F">
        <w:rPr>
          <w:color w:val="000000" w:themeColor="text1"/>
          <w:szCs w:val="17"/>
        </w:rPr>
        <w:t xml:space="preserve"> Howard M. Wasserman, </w:t>
      </w:r>
      <w:r w:rsidR="00315997" w:rsidRPr="006A612F">
        <w:rPr>
          <w:i/>
          <w:color w:val="000000" w:themeColor="text1"/>
          <w:szCs w:val="17"/>
        </w:rPr>
        <w:t>Civil Rights Plaintiffs and John Doe Defendants: A Study in Section 1983 Procedure</w:t>
      </w:r>
      <w:r w:rsidR="00315997" w:rsidRPr="006A612F">
        <w:rPr>
          <w:color w:val="000000" w:themeColor="text1"/>
          <w:szCs w:val="17"/>
        </w:rPr>
        <w:t xml:space="preserve">, 25 </w:t>
      </w:r>
      <w:r w:rsidR="00315997" w:rsidRPr="006A612F">
        <w:rPr>
          <w:smallCaps/>
          <w:color w:val="000000" w:themeColor="text1"/>
          <w:szCs w:val="17"/>
        </w:rPr>
        <w:t>Cardozo L. Rev.</w:t>
      </w:r>
      <w:r w:rsidR="00315997" w:rsidRPr="006A612F">
        <w:rPr>
          <w:color w:val="000000" w:themeColor="text1"/>
          <w:szCs w:val="17"/>
        </w:rPr>
        <w:t xml:space="preserve"> 793, 797–98 (2003) (noting the </w:t>
      </w:r>
      <w:r w:rsidRPr="006A612F">
        <w:rPr>
          <w:color w:val="000000" w:themeColor="text1"/>
          <w:szCs w:val="17"/>
        </w:rPr>
        <w:t>“</w:t>
      </w:r>
      <w:r w:rsidR="00315997" w:rsidRPr="006A612F">
        <w:rPr>
          <w:color w:val="000000" w:themeColor="text1"/>
          <w:szCs w:val="17"/>
        </w:rPr>
        <w:t>special problem</w:t>
      </w:r>
      <w:r w:rsidRPr="006A612F">
        <w:rPr>
          <w:color w:val="000000" w:themeColor="text1"/>
          <w:szCs w:val="17"/>
        </w:rPr>
        <w:t>”</w:t>
      </w:r>
      <w:r w:rsidR="00315997" w:rsidRPr="006A612F">
        <w:rPr>
          <w:color w:val="000000" w:themeColor="text1"/>
          <w:szCs w:val="17"/>
        </w:rPr>
        <w:t xml:space="preserve"> of John Doe defendants in § 1983 actions). Wasserman explains that the use of a John Doe or Unknown Officer defendant is </w:t>
      </w:r>
      <w:r w:rsidRPr="006A612F">
        <w:rPr>
          <w:color w:val="000000" w:themeColor="text1"/>
          <w:szCs w:val="17"/>
        </w:rPr>
        <w:t>“</w:t>
      </w:r>
      <w:r w:rsidR="00315997" w:rsidRPr="006A612F">
        <w:rPr>
          <w:color w:val="000000" w:themeColor="text1"/>
          <w:szCs w:val="17"/>
        </w:rPr>
        <w:t xml:space="preserve">most common and most necessary in these cases, in light of 1) the conduct that gives rise to much constitutional litigation, and 2) substantive </w:t>
      </w:r>
      <w:r w:rsidR="00315997" w:rsidRPr="006A612F">
        <w:rPr>
          <w:iCs/>
          <w:color w:val="000000" w:themeColor="text1"/>
          <w:szCs w:val="17"/>
        </w:rPr>
        <w:t xml:space="preserve">§ 1983 </w:t>
      </w:r>
      <w:r w:rsidR="00315997" w:rsidRPr="006A612F">
        <w:rPr>
          <w:color w:val="000000" w:themeColor="text1"/>
          <w:szCs w:val="17"/>
        </w:rPr>
        <w:t>law, which emphasizes the liability of the individual officer and de-emphasizes or eliminates the liability of the government entity.</w:t>
      </w:r>
      <w:r w:rsidRPr="006A612F">
        <w:rPr>
          <w:color w:val="000000" w:themeColor="text1"/>
          <w:szCs w:val="17"/>
        </w:rPr>
        <w:t>”</w:t>
      </w:r>
      <w:r w:rsidR="00315997" w:rsidRPr="006A612F">
        <w:rPr>
          <w:color w:val="000000" w:themeColor="text1"/>
          <w:szCs w:val="17"/>
        </w:rPr>
        <w:t xml:space="preserve"> </w:t>
      </w:r>
      <w:r w:rsidR="00315997" w:rsidRPr="0024777B">
        <w:rPr>
          <w:i/>
          <w:color w:val="000000" w:themeColor="text1"/>
          <w:szCs w:val="17"/>
        </w:rPr>
        <w:t>Id.</w:t>
      </w:r>
      <w:r w:rsidR="00315997" w:rsidRPr="006A612F">
        <w:rPr>
          <w:i/>
          <w:iCs/>
          <w:color w:val="000000" w:themeColor="text1"/>
          <w:szCs w:val="17"/>
        </w:rPr>
        <w:t xml:space="preserve"> </w:t>
      </w:r>
      <w:r w:rsidR="00315997" w:rsidRPr="006A612F">
        <w:rPr>
          <w:color w:val="000000" w:themeColor="text1"/>
          <w:szCs w:val="17"/>
        </w:rPr>
        <w:t>(footnotes omitted).</w:t>
      </w:r>
    </w:p>
  </w:footnote>
  <w:footnote w:id="36">
    <w:p w14:paraId="0012542A" w14:textId="62A339D4"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By using the term </w:t>
      </w:r>
      <w:r w:rsidRPr="006A612F">
        <w:rPr>
          <w:szCs w:val="17"/>
        </w:rPr>
        <w:t>“</w:t>
      </w:r>
      <w:r w:rsidR="00315997" w:rsidRPr="006A612F">
        <w:rPr>
          <w:szCs w:val="17"/>
        </w:rPr>
        <w:t>specific,</w:t>
      </w:r>
      <w:r w:rsidRPr="006A612F">
        <w:rPr>
          <w:szCs w:val="17"/>
        </w:rPr>
        <w:t>”</w:t>
      </w:r>
      <w:r w:rsidR="00315997" w:rsidRPr="006A612F">
        <w:rPr>
          <w:szCs w:val="17"/>
        </w:rPr>
        <w:t xml:space="preserve"> I wish to signal the exclusion of general legal obligations, like the general duty of care owed to others that has been recognized in tort cases.</w:t>
      </w:r>
    </w:p>
  </w:footnote>
  <w:footnote w:id="37">
    <w:p w14:paraId="5A336CC7" w14:textId="53D933F5"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Steven H. Steinglass</w:t>
      </w:r>
      <w:r w:rsidR="00315997" w:rsidRPr="006A612F">
        <w:rPr>
          <w:szCs w:val="17"/>
        </w:rPr>
        <w:t xml:space="preserve">, </w:t>
      </w:r>
      <w:r w:rsidR="00315997" w:rsidRPr="006A612F">
        <w:rPr>
          <w:smallCaps/>
          <w:szCs w:val="17"/>
        </w:rPr>
        <w:t>Section 1983 Litigation in State and Federal Courts</w:t>
      </w:r>
      <w:r w:rsidR="00315997" w:rsidRPr="006A612F">
        <w:rPr>
          <w:szCs w:val="17"/>
        </w:rPr>
        <w:t xml:space="preserve"> </w:t>
      </w:r>
      <w:r w:rsidR="00315997" w:rsidRPr="006A612F">
        <w:rPr>
          <w:i/>
          <w:iCs/>
          <w:szCs w:val="17"/>
        </w:rPr>
        <w:t>Pleading—Doe defendants</w:t>
      </w:r>
      <w:r w:rsidR="00315997" w:rsidRPr="006A612F">
        <w:rPr>
          <w:szCs w:val="17"/>
        </w:rPr>
        <w:t xml:space="preserve"> § 8:5 Westlaw (database updated Oct. 2021). In </w:t>
      </w:r>
      <w:r w:rsidR="00315997" w:rsidRPr="006A612F">
        <w:rPr>
          <w:i/>
          <w:iCs/>
          <w:szCs w:val="17"/>
        </w:rPr>
        <w:t>Bivens</w:t>
      </w:r>
      <w:r w:rsidR="00315997" w:rsidRPr="006A612F">
        <w:rPr>
          <w:szCs w:val="17"/>
        </w:rPr>
        <w:t xml:space="preserve">, however, the Supreme Court permitted (without discussion) the use of fictitious defendants. </w:t>
      </w:r>
      <w:r w:rsidR="00315997" w:rsidRPr="0024777B">
        <w:rPr>
          <w:i/>
          <w:szCs w:val="17"/>
        </w:rPr>
        <w:t>Id.</w:t>
      </w:r>
      <w:r w:rsidR="00315997" w:rsidRPr="006A612F">
        <w:rPr>
          <w:szCs w:val="17"/>
        </w:rPr>
        <w:t xml:space="preserve"> (citing Bivens v. Six Unknown Named Agents of Fed. Bureau of Narcotics, 403 U.S. 388 (1971)). Here is an example of a complaint using the John Doe designation:</w:t>
      </w:r>
    </w:p>
    <w:p w14:paraId="01E0FDDE" w14:textId="0B2C90B0" w:rsidR="00315997" w:rsidRPr="006A612F" w:rsidRDefault="00315997" w:rsidP="00AA6ED0">
      <w:pPr>
        <w:pStyle w:val="FootNote"/>
        <w:spacing w:line="240" w:lineRule="auto"/>
        <w:ind w:left="446" w:right="446"/>
        <w:rPr>
          <w:szCs w:val="17"/>
          <w:shd w:val="clear" w:color="auto" w:fill="FFFFFF"/>
        </w:rPr>
      </w:pPr>
      <w:r w:rsidRPr="006A612F">
        <w:rPr>
          <w:szCs w:val="17"/>
          <w:shd w:val="clear" w:color="auto" w:fill="FFFFFF"/>
        </w:rPr>
        <w:t xml:space="preserve">Defendant </w:t>
      </w:r>
      <w:r w:rsidRPr="006A612F">
        <w:rPr>
          <w:szCs w:val="17"/>
        </w:rPr>
        <w:t xml:space="preserve">JOHN DOE </w:t>
      </w:r>
      <w:r w:rsidRPr="006A612F">
        <w:rPr>
          <w:szCs w:val="17"/>
          <w:shd w:val="clear" w:color="auto" w:fill="FFFFFF"/>
        </w:rPr>
        <w:t>and others not presently known to the plaintiff were, at all times material to this Complaint, duly appointed police officers of the City of </w:t>
      </w:r>
      <w:r w:rsidRPr="006A612F">
        <w:rPr>
          <w:i/>
          <w:iCs/>
          <w:szCs w:val="17"/>
        </w:rPr>
        <w:t>[name of city]</w:t>
      </w:r>
      <w:r w:rsidRPr="006A612F">
        <w:rPr>
          <w:szCs w:val="17"/>
          <w:shd w:val="clear" w:color="auto" w:fill="FFFFFF"/>
        </w:rPr>
        <w:t>. At all times material to this Complaint, these defendants acted toward plaintiff under color of the statutes, ordinances, customs and usage of the State of </w:t>
      </w:r>
      <w:r w:rsidRPr="006A612F">
        <w:rPr>
          <w:i/>
          <w:iCs/>
          <w:szCs w:val="17"/>
        </w:rPr>
        <w:t>[name of state]</w:t>
      </w:r>
      <w:r w:rsidRPr="006A612F">
        <w:rPr>
          <w:szCs w:val="17"/>
          <w:shd w:val="clear" w:color="auto" w:fill="FFFFFF"/>
        </w:rPr>
        <w:t>, City of </w:t>
      </w:r>
      <w:r w:rsidRPr="006A612F">
        <w:rPr>
          <w:i/>
          <w:iCs/>
          <w:szCs w:val="17"/>
        </w:rPr>
        <w:t>[name of city]</w:t>
      </w:r>
      <w:r w:rsidRPr="006A612F">
        <w:rPr>
          <w:szCs w:val="17"/>
          <w:shd w:val="clear" w:color="auto" w:fill="FFFFFF"/>
        </w:rPr>
        <w:t>, and the </w:t>
      </w:r>
      <w:r w:rsidRPr="006A612F">
        <w:rPr>
          <w:i/>
          <w:iCs/>
          <w:szCs w:val="17"/>
        </w:rPr>
        <w:t>[name of police department]</w:t>
      </w:r>
      <w:r w:rsidRPr="006A612F">
        <w:rPr>
          <w:szCs w:val="17"/>
          <w:shd w:val="clear" w:color="auto" w:fill="FFFFFF"/>
        </w:rPr>
        <w:t> Police Department.</w:t>
      </w:r>
    </w:p>
    <w:p w14:paraId="2F77DA28" w14:textId="47B76656" w:rsidR="00315997" w:rsidRPr="006A612F" w:rsidRDefault="00315997" w:rsidP="00AA6ED0">
      <w:pPr>
        <w:pStyle w:val="FootNote"/>
        <w:spacing w:line="240" w:lineRule="auto"/>
        <w:rPr>
          <w:b/>
          <w:bCs/>
          <w:szCs w:val="17"/>
        </w:rPr>
      </w:pPr>
      <w:r w:rsidRPr="006A612F">
        <w:rPr>
          <w:smallCaps/>
          <w:szCs w:val="17"/>
        </w:rPr>
        <w:t xml:space="preserve">Sheldon H. Nahmod, </w:t>
      </w:r>
      <w:r w:rsidRPr="006A612F">
        <w:rPr>
          <w:smallCaps/>
          <w:szCs w:val="17"/>
          <w:shd w:val="clear" w:color="auto" w:fill="FFFFFF"/>
        </w:rPr>
        <w:t>Civil Rights and Civil Liberties Litigation: The Law of Section 1983</w:t>
      </w:r>
      <w:r w:rsidRPr="006A612F">
        <w:rPr>
          <w:szCs w:val="17"/>
          <w:shd w:val="clear" w:color="auto" w:fill="FFFFFF"/>
        </w:rPr>
        <w:t xml:space="preserve"> app. B-8 (4th ed. 2020).</w:t>
      </w:r>
    </w:p>
  </w:footnote>
  <w:footnote w:id="38">
    <w:p w14:paraId="23F90654" w14:textId="28417B33" w:rsidR="00315997" w:rsidRPr="006A612F" w:rsidRDefault="00BF278E" w:rsidP="00AA6ED0">
      <w:pPr>
        <w:pStyle w:val="FootNote"/>
        <w:spacing w:line="240" w:lineRule="auto"/>
        <w:rPr>
          <w:color w:val="000000" w:themeColor="text1"/>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Whether Doe defendants are acceptable in federal civil cases is largely dependent on jurisdiction. The Ninth Circuit, for example, had long held that the inclusion of a Doe defendant defeated diversity jurisdiction, thus removing the federal court</w:t>
      </w:r>
      <w:r w:rsidRPr="006A612F">
        <w:rPr>
          <w:szCs w:val="17"/>
        </w:rPr>
        <w:t>’</w:t>
      </w:r>
      <w:r w:rsidR="00315997" w:rsidRPr="006A612F">
        <w:rPr>
          <w:szCs w:val="17"/>
        </w:rPr>
        <w:t xml:space="preserve">s standing to hear the case. </w:t>
      </w:r>
      <w:r w:rsidR="00315997" w:rsidRPr="006A612F">
        <w:rPr>
          <w:i/>
          <w:iCs/>
          <w:szCs w:val="17"/>
        </w:rPr>
        <w:t xml:space="preserve">See </w:t>
      </w:r>
      <w:r w:rsidR="00315997" w:rsidRPr="006A612F">
        <w:rPr>
          <w:szCs w:val="17"/>
        </w:rPr>
        <w:t xml:space="preserve">Bryant v. Ford Motor Co., 844 F.2d 602, 605 (9th Cir. 1987) (articulating the new rule that the presence of Doe defendants no longer destroys diversity jurisdiction, thus precluding removal). Contrary to the Ninth Circuit, the Eleventh Circuit has recognized that naming a defendant may not always be possible and has held that the court may hear the case if the complaint describes the defendant well enough so that their name is mere </w:t>
      </w:r>
      <w:r w:rsidRPr="006A612F">
        <w:rPr>
          <w:szCs w:val="17"/>
        </w:rPr>
        <w:t>“</w:t>
      </w:r>
      <w:r w:rsidR="00315997" w:rsidRPr="006A612F">
        <w:rPr>
          <w:szCs w:val="17"/>
        </w:rPr>
        <w:t>surplusage</w:t>
      </w:r>
      <w:r w:rsidRPr="006A612F">
        <w:rPr>
          <w:szCs w:val="17"/>
        </w:rPr>
        <w:t>”</w:t>
      </w:r>
      <w:r w:rsidR="00315997" w:rsidRPr="006A612F">
        <w:rPr>
          <w:szCs w:val="17"/>
        </w:rPr>
        <w:t xml:space="preserve"> and the defendant can readily be identified through the discovery process. </w:t>
      </w:r>
      <w:r w:rsidR="00315997" w:rsidRPr="006A612F">
        <w:rPr>
          <w:color w:val="000000" w:themeColor="text1"/>
          <w:szCs w:val="17"/>
        </w:rPr>
        <w:t xml:space="preserve">Dean v. Barber, 951 F.2d 1210, 1215–16 &amp; n.6 (11th Cir. 1992). One primary reason for this split is whether the circuit views a Doe defendant as a fictitious party, which is not permitted, or whether the circuit views them as a </w:t>
      </w:r>
      <w:r w:rsidRPr="006A612F">
        <w:rPr>
          <w:color w:val="000000" w:themeColor="text1"/>
          <w:szCs w:val="17"/>
        </w:rPr>
        <w:t>“</w:t>
      </w:r>
      <w:r w:rsidR="00315997" w:rsidRPr="006A612F">
        <w:rPr>
          <w:color w:val="000000" w:themeColor="text1"/>
          <w:szCs w:val="17"/>
        </w:rPr>
        <w:t>real party sued under a fictitious name.</w:t>
      </w:r>
      <w:r w:rsidRPr="006A612F">
        <w:rPr>
          <w:color w:val="000000" w:themeColor="text1"/>
          <w:szCs w:val="17"/>
        </w:rPr>
        <w:t>”</w:t>
      </w:r>
      <w:r w:rsidR="00315997" w:rsidRPr="006A612F">
        <w:rPr>
          <w:color w:val="000000" w:themeColor="text1"/>
          <w:szCs w:val="17"/>
        </w:rPr>
        <w:t xml:space="preserve"> </w:t>
      </w:r>
      <w:r w:rsidR="00315997" w:rsidRPr="006A612F">
        <w:rPr>
          <w:i/>
          <w:iCs/>
          <w:color w:val="000000" w:themeColor="text1"/>
          <w:szCs w:val="17"/>
        </w:rPr>
        <w:t xml:space="preserve">See </w:t>
      </w:r>
      <w:r w:rsidR="00315997" w:rsidRPr="0024777B">
        <w:rPr>
          <w:i/>
          <w:color w:val="000000" w:themeColor="text1"/>
          <w:szCs w:val="17"/>
        </w:rPr>
        <w:t>id.</w:t>
      </w:r>
      <w:r w:rsidR="00315997" w:rsidRPr="006A612F">
        <w:rPr>
          <w:color w:val="000000" w:themeColor="text1"/>
          <w:szCs w:val="17"/>
        </w:rPr>
        <w:t xml:space="preserve"> at 1215 (</w:t>
      </w:r>
      <w:r w:rsidRPr="006A612F">
        <w:rPr>
          <w:color w:val="000000" w:themeColor="text1"/>
          <w:szCs w:val="17"/>
        </w:rPr>
        <w:t>“</w:t>
      </w:r>
      <w:r w:rsidR="00315997" w:rsidRPr="006A612F">
        <w:rPr>
          <w:color w:val="000000" w:themeColor="text1"/>
          <w:szCs w:val="17"/>
        </w:rPr>
        <w:t>It is important to distinguish suing fictitious parties from real parties sued under a fictitious name.</w:t>
      </w:r>
      <w:r w:rsidRPr="006A612F">
        <w:rPr>
          <w:color w:val="000000" w:themeColor="text1"/>
          <w:szCs w:val="17"/>
        </w:rPr>
        <w:t>”</w:t>
      </w:r>
      <w:r w:rsidR="00315997" w:rsidRPr="006A612F">
        <w:rPr>
          <w:color w:val="000000" w:themeColor="text1"/>
          <w:szCs w:val="17"/>
        </w:rPr>
        <w:t xml:space="preserve"> (citing Bryant v. Ford Motor Co., 832 F.2d 1080, 1096 n.19 (9th Cir. 1987) (Kozinski, J., dissenting))).</w:t>
      </w:r>
      <w:r w:rsidR="00315997" w:rsidRPr="006A612F">
        <w:rPr>
          <w:i/>
          <w:iCs/>
          <w:color w:val="000000" w:themeColor="text1"/>
          <w:szCs w:val="17"/>
        </w:rPr>
        <w:t xml:space="preserve"> </w:t>
      </w:r>
      <w:r w:rsidR="00315997" w:rsidRPr="006A612F">
        <w:rPr>
          <w:color w:val="000000" w:themeColor="text1"/>
          <w:szCs w:val="17"/>
        </w:rPr>
        <w:t>This question—whether a plaintiff can actually sue a Doe defendant—</w:t>
      </w:r>
      <w:r w:rsidR="00315997" w:rsidRPr="006A612F">
        <w:rPr>
          <w:szCs w:val="17"/>
        </w:rPr>
        <w:t>has escaped the careful consideration of legal scholars.</w:t>
      </w:r>
    </w:p>
  </w:footnote>
  <w:footnote w:id="39">
    <w:p w14:paraId="23748E2C" w14:textId="1B20108A" w:rsidR="00315997" w:rsidRPr="006A612F" w:rsidRDefault="00BF278E" w:rsidP="00AA6ED0">
      <w:pPr>
        <w:pStyle w:val="FootNote"/>
        <w:spacing w:line="240" w:lineRule="auto"/>
        <w:rPr>
          <w:color w:val="000000"/>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Rule Eight simply requires that a pleading contain </w:t>
      </w:r>
      <w:r w:rsidRPr="006A612F">
        <w:rPr>
          <w:szCs w:val="17"/>
        </w:rPr>
        <w:t>“</w:t>
      </w:r>
      <w:r w:rsidR="00315997" w:rsidRPr="006A612F">
        <w:rPr>
          <w:color w:val="000000"/>
          <w:szCs w:val="17"/>
          <w:shd w:val="clear" w:color="auto" w:fill="FFFFFF"/>
        </w:rPr>
        <w:t>a short and plain statement of the claim showing that the pleader is entitled to relief.</w:t>
      </w:r>
      <w:r w:rsidRPr="006A612F">
        <w:rPr>
          <w:color w:val="000000"/>
          <w:szCs w:val="17"/>
          <w:shd w:val="clear" w:color="auto" w:fill="FFFFFF"/>
        </w:rPr>
        <w:t>”</w:t>
      </w:r>
      <w:r w:rsidR="00315997" w:rsidRPr="006A612F">
        <w:rPr>
          <w:color w:val="000000"/>
          <w:szCs w:val="17"/>
          <w:shd w:val="clear" w:color="auto" w:fill="FFFFFF"/>
        </w:rPr>
        <w:t xml:space="preserve"> </w:t>
      </w:r>
      <w:r w:rsidR="00315997" w:rsidRPr="006A612F">
        <w:rPr>
          <w:smallCaps/>
          <w:color w:val="000000"/>
          <w:szCs w:val="17"/>
        </w:rPr>
        <w:t>Fed. R. Civ. P.</w:t>
      </w:r>
      <w:r w:rsidR="00315997" w:rsidRPr="006A612F">
        <w:rPr>
          <w:color w:val="000000"/>
          <w:szCs w:val="17"/>
        </w:rPr>
        <w:t xml:space="preserve"> 8.</w:t>
      </w:r>
    </w:p>
  </w:footnote>
  <w:footnote w:id="40">
    <w:p w14:paraId="497EF6AA" w14:textId="64BDEB6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5 </w:t>
      </w:r>
      <w:r w:rsidR="00315997" w:rsidRPr="006A612F">
        <w:rPr>
          <w:smallCaps/>
          <w:szCs w:val="17"/>
        </w:rPr>
        <w:t>Charles Alan Wright &amp; Arthur R. Miller</w:t>
      </w:r>
      <w:r w:rsidR="00315997" w:rsidRPr="006A612F">
        <w:rPr>
          <w:szCs w:val="17"/>
        </w:rPr>
        <w:t xml:space="preserve">, </w:t>
      </w:r>
      <w:r w:rsidR="00315997" w:rsidRPr="006A612F">
        <w:rPr>
          <w:smallCaps/>
          <w:szCs w:val="17"/>
        </w:rPr>
        <w:t>Federal Practice and Procedure</w:t>
      </w:r>
      <w:r w:rsidR="00315997" w:rsidRPr="006A612F">
        <w:rPr>
          <w:szCs w:val="17"/>
        </w:rPr>
        <w:t xml:space="preserve"> </w:t>
      </w:r>
      <w:r w:rsidR="00315997" w:rsidRPr="006A612F">
        <w:rPr>
          <w:color w:val="000000"/>
          <w:szCs w:val="17"/>
          <w:shd w:val="clear" w:color="auto" w:fill="FFFFFF"/>
        </w:rPr>
        <w:t>§</w:t>
      </w:r>
      <w:r w:rsidR="0091191F" w:rsidRPr="006A612F">
        <w:rPr>
          <w:color w:val="000000"/>
          <w:szCs w:val="17"/>
          <w:shd w:val="clear" w:color="auto" w:fill="FFFFFF"/>
        </w:rPr>
        <w:t xml:space="preserve"> </w:t>
      </w:r>
      <w:r w:rsidR="00315997" w:rsidRPr="006A612F">
        <w:rPr>
          <w:color w:val="000000"/>
          <w:szCs w:val="17"/>
          <w:shd w:val="clear" w:color="auto" w:fill="FFFFFF"/>
        </w:rPr>
        <w:t>1216 (4th ed.), Westlaw (database updated Oct. 2021).</w:t>
      </w:r>
    </w:p>
  </w:footnote>
  <w:footnote w:id="41">
    <w:p w14:paraId="4638A6C9" w14:textId="12B7C438" w:rsidR="00315997" w:rsidRPr="006A612F" w:rsidRDefault="00BF278E" w:rsidP="00AA6ED0">
      <w:pPr>
        <w:pStyle w:val="FootNote"/>
        <w:spacing w:line="240" w:lineRule="auto"/>
        <w:rPr>
          <w:b/>
          <w:bCs/>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550 U.S. 544 (2007).</w:t>
      </w:r>
    </w:p>
  </w:footnote>
  <w:footnote w:id="42">
    <w:p w14:paraId="4E8B7EBA" w14:textId="26E20562" w:rsidR="00315997" w:rsidRPr="006A612F" w:rsidRDefault="00BF278E" w:rsidP="00AA6ED0">
      <w:pPr>
        <w:pStyle w:val="FootNote"/>
        <w:spacing w:line="240" w:lineRule="auto"/>
        <w:rPr>
          <w:b/>
          <w:bCs/>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556 U.S. 662 (2009).</w:t>
      </w:r>
    </w:p>
  </w:footnote>
  <w:footnote w:id="43">
    <w:p w14:paraId="26C9B8F1" w14:textId="64C3154E" w:rsidR="00315997" w:rsidRPr="006A612F" w:rsidRDefault="00BF278E" w:rsidP="00AA6ED0">
      <w:pPr>
        <w:pStyle w:val="FootNote"/>
        <w:spacing w:line="240" w:lineRule="auto"/>
        <w:rPr>
          <w:b/>
          <w:bCs/>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mallCaps/>
          <w:szCs w:val="17"/>
        </w:rPr>
        <w:t>Wright &amp; Miller</w:t>
      </w:r>
      <w:r w:rsidR="00315997" w:rsidRPr="006A612F">
        <w:rPr>
          <w:szCs w:val="17"/>
        </w:rPr>
        <w:t xml:space="preserve">, </w:t>
      </w:r>
      <w:r w:rsidR="00315997" w:rsidRPr="006A612F">
        <w:rPr>
          <w:i/>
          <w:iCs/>
          <w:szCs w:val="17"/>
        </w:rPr>
        <w:t>supra</w:t>
      </w:r>
      <w:r w:rsidR="00315997" w:rsidRPr="006A612F">
        <w:rPr>
          <w:szCs w:val="17"/>
        </w:rPr>
        <w:t xml:space="preserve"> note 39, at § 1216 (</w:t>
      </w:r>
      <w:r w:rsidRPr="006A612F">
        <w:rPr>
          <w:szCs w:val="17"/>
        </w:rPr>
        <w:t>“</w:t>
      </w:r>
      <w:r w:rsidR="00315997" w:rsidRPr="006A612F">
        <w:rPr>
          <w:szCs w:val="17"/>
        </w:rPr>
        <w:t>[T]he Iqbal Court sought to address many of the questions Twombly had raised</w:t>
      </w:r>
      <w:r w:rsidRPr="006A612F">
        <w:rPr>
          <w:szCs w:val="17"/>
        </w:rPr>
        <w:t>. . . .</w:t>
      </w:r>
      <w:r w:rsidR="00315997" w:rsidRPr="006A612F">
        <w:rPr>
          <w:szCs w:val="17"/>
        </w:rPr>
        <w:t xml:space="preserve"> [But,] the Court</w:t>
      </w:r>
      <w:r w:rsidRPr="006A612F">
        <w:rPr>
          <w:szCs w:val="17"/>
        </w:rPr>
        <w:t>’</w:t>
      </w:r>
      <w:r w:rsidR="00315997" w:rsidRPr="006A612F">
        <w:rPr>
          <w:szCs w:val="17"/>
        </w:rPr>
        <w:t>s holding appears to have presented further issues for the federal courts to address.</w:t>
      </w:r>
      <w:r w:rsidRPr="006A612F">
        <w:rPr>
          <w:szCs w:val="17"/>
        </w:rPr>
        <w:t>”</w:t>
      </w:r>
      <w:r w:rsidR="00315997" w:rsidRPr="006A612F">
        <w:rPr>
          <w:szCs w:val="17"/>
        </w:rPr>
        <w:t>).</w:t>
      </w:r>
    </w:p>
  </w:footnote>
  <w:footnote w:id="44">
    <w:p w14:paraId="23C8BF95" w14:textId="7D9B7032" w:rsidR="00315997" w:rsidRPr="006A612F" w:rsidRDefault="00BF278E" w:rsidP="00AA6ED0">
      <w:pPr>
        <w:pStyle w:val="FootNote"/>
        <w:spacing w:line="240" w:lineRule="auto"/>
        <w:rPr>
          <w:szCs w:val="17"/>
        </w:rPr>
      </w:pPr>
      <w:r w:rsidRPr="006A612F">
        <w:rPr>
          <w:i/>
          <w:iCs/>
          <w:color w:val="000000"/>
          <w:szCs w:val="17"/>
          <w:bdr w:val="none" w:sz="0" w:space="0" w:color="auto" w:frame="1"/>
        </w:rPr>
        <w:fldChar w:fldCharType="begin"/>
      </w:r>
      <w:r w:rsidRPr="006A612F">
        <w:rPr>
          <w:i/>
          <w:iCs/>
          <w:color w:val="000000"/>
          <w:szCs w:val="17"/>
          <w:bdr w:val="none" w:sz="0" w:space="0" w:color="auto" w:frame="1"/>
        </w:rPr>
        <w:instrText xml:space="preserve"> ADVANCE \r12 \* MERGEFORMAT </w:instrText>
      </w:r>
      <w:r w:rsidRPr="006A612F">
        <w:rPr>
          <w:i/>
          <w:iCs/>
          <w:color w:val="000000"/>
          <w:szCs w:val="17"/>
          <w:bdr w:val="none" w:sz="0" w:space="0" w:color="auto" w:frame="1"/>
        </w:rPr>
        <w:fldChar w:fldCharType="end"/>
      </w:r>
      <w:r w:rsidR="00315997" w:rsidRPr="00732F34">
        <w:rPr>
          <w:rStyle w:val="NoterefInNote"/>
        </w:rPr>
        <w:footnoteRef/>
      </w:r>
      <w:r w:rsidRPr="00732F34">
        <w:rPr>
          <w:color w:val="000000"/>
          <w:szCs w:val="17"/>
          <w:bdr w:val="none" w:sz="0" w:space="0" w:color="auto" w:frame="1"/>
        </w:rPr>
        <w:t>.</w:t>
      </w:r>
      <w:r w:rsidRPr="006A612F">
        <w:rPr>
          <w:i/>
          <w:iCs/>
          <w:color w:val="000000"/>
          <w:szCs w:val="17"/>
          <w:bdr w:val="none" w:sz="0" w:space="0" w:color="auto" w:frame="1"/>
        </w:rPr>
        <w:fldChar w:fldCharType="begin"/>
      </w:r>
      <w:r w:rsidRPr="006A612F">
        <w:rPr>
          <w:i/>
          <w:iCs/>
          <w:color w:val="000000"/>
          <w:szCs w:val="17"/>
          <w:bdr w:val="none" w:sz="0" w:space="0" w:color="auto" w:frame="1"/>
        </w:rPr>
        <w:instrText xml:space="preserve"> ADVANCE \r4 \* MERGEFORMAT </w:instrText>
      </w:r>
      <w:r w:rsidRPr="006A612F">
        <w:rPr>
          <w:i/>
          <w:iCs/>
          <w:color w:val="000000"/>
          <w:szCs w:val="17"/>
          <w:bdr w:val="none" w:sz="0" w:space="0" w:color="auto" w:frame="1"/>
        </w:rPr>
        <w:fldChar w:fldCharType="end"/>
      </w:r>
      <w:r w:rsidR="00315997" w:rsidRPr="006A612F">
        <w:rPr>
          <w:i/>
          <w:iCs/>
          <w:color w:val="000000"/>
          <w:szCs w:val="17"/>
          <w:bdr w:val="none" w:sz="0" w:space="0" w:color="auto" w:frame="1"/>
        </w:rPr>
        <w:t>Twombly</w:t>
      </w:r>
      <w:r w:rsidR="00315997" w:rsidRPr="006A612F">
        <w:rPr>
          <w:color w:val="000000"/>
          <w:szCs w:val="17"/>
          <w:bdr w:val="none" w:sz="0" w:space="0" w:color="auto" w:frame="1"/>
        </w:rPr>
        <w:t>, 550 U.S. at 555 (citation omitted).</w:t>
      </w:r>
    </w:p>
  </w:footnote>
  <w:footnote w:id="45">
    <w:p w14:paraId="676A7C49" w14:textId="0A3924D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e.g.</w:t>
      </w:r>
      <w:r w:rsidR="00315997" w:rsidRPr="006A612F">
        <w:rPr>
          <w:szCs w:val="17"/>
        </w:rPr>
        <w:t xml:space="preserve">, Andrew F. Halaby, </w:t>
      </w:r>
      <w:r w:rsidR="00315997" w:rsidRPr="006A612F">
        <w:rPr>
          <w:i/>
          <w:szCs w:val="17"/>
        </w:rPr>
        <w:t xml:space="preserve">Pleading Analysis Under </w:t>
      </w:r>
      <w:r w:rsidR="00315997" w:rsidRPr="006A612F">
        <w:rPr>
          <w:iCs/>
          <w:szCs w:val="17"/>
        </w:rPr>
        <w:t>Iqbal</w:t>
      </w:r>
      <w:r w:rsidR="00315997" w:rsidRPr="006A612F">
        <w:rPr>
          <w:i/>
          <w:szCs w:val="17"/>
        </w:rPr>
        <w:t>: Once More Onto the Breach!</w:t>
      </w:r>
      <w:r w:rsidR="00315997" w:rsidRPr="006A612F">
        <w:rPr>
          <w:szCs w:val="17"/>
        </w:rPr>
        <w:t xml:space="preserve">, </w:t>
      </w:r>
      <w:r w:rsidR="00315997" w:rsidRPr="006A612F">
        <w:rPr>
          <w:smallCaps/>
          <w:szCs w:val="17"/>
        </w:rPr>
        <w:t>Ariz. Att</w:t>
      </w:r>
      <w:r w:rsidRPr="006A612F">
        <w:rPr>
          <w:smallCaps/>
          <w:szCs w:val="17"/>
        </w:rPr>
        <w:t>’</w:t>
      </w:r>
      <w:r w:rsidR="00315997" w:rsidRPr="006A612F">
        <w:rPr>
          <w:smallCaps/>
          <w:szCs w:val="17"/>
        </w:rPr>
        <w:t>y Mag.</w:t>
      </w:r>
      <w:r w:rsidR="00315997" w:rsidRPr="006A612F">
        <w:rPr>
          <w:szCs w:val="17"/>
        </w:rPr>
        <w:t>, Dec. 2009, at 34–36 (</w:t>
      </w:r>
      <w:r w:rsidRPr="006A612F">
        <w:rPr>
          <w:szCs w:val="17"/>
        </w:rPr>
        <w:t>“</w:t>
      </w:r>
      <w:r w:rsidR="00315997" w:rsidRPr="006A612F">
        <w:rPr>
          <w:szCs w:val="17"/>
        </w:rPr>
        <w:t xml:space="preserve">[I]t is difficult to go further and conclude from </w:t>
      </w:r>
      <w:r w:rsidR="00315997" w:rsidRPr="006A612F">
        <w:rPr>
          <w:i/>
          <w:iCs/>
          <w:szCs w:val="17"/>
        </w:rPr>
        <w:t>Iqbal</w:t>
      </w:r>
      <w:r w:rsidR="00315997" w:rsidRPr="006A612F">
        <w:rPr>
          <w:szCs w:val="17"/>
        </w:rPr>
        <w:t xml:space="preserve"> that its standards apply uniformly in all civil cases.</w:t>
      </w:r>
      <w:r w:rsidRPr="006A612F">
        <w:rPr>
          <w:szCs w:val="17"/>
        </w:rPr>
        <w:t>”</w:t>
      </w:r>
      <w:r w:rsidR="00315997" w:rsidRPr="006A612F">
        <w:rPr>
          <w:szCs w:val="17"/>
        </w:rPr>
        <w:t>).</w:t>
      </w:r>
    </w:p>
  </w:footnote>
  <w:footnote w:id="46">
    <w:p w14:paraId="7B2EEF75" w14:textId="7FEA097F"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Martin A. Schwartz, Section 1983 Litigation</w:t>
      </w:r>
      <w:r w:rsidR="00315997" w:rsidRPr="006A612F">
        <w:rPr>
          <w:szCs w:val="17"/>
        </w:rPr>
        <w:t xml:space="preserve"> 13 (Kris Markarian ed., 3d ed. 2014).</w:t>
      </w:r>
    </w:p>
  </w:footnote>
  <w:footnote w:id="47">
    <w:p w14:paraId="52A54DC5" w14:textId="54434272" w:rsidR="00315997" w:rsidRPr="006A612F" w:rsidRDefault="00BF278E" w:rsidP="00AA6ED0">
      <w:pPr>
        <w:pStyle w:val="FootNote"/>
        <w:spacing w:before="0"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Lucas F. Tesoriero, </w:t>
      </w:r>
      <w:r w:rsidR="00315997" w:rsidRPr="006A612F">
        <w:rPr>
          <w:i/>
          <w:szCs w:val="17"/>
        </w:rPr>
        <w:t>Pre-</w:t>
      </w:r>
      <w:r w:rsidR="00315997" w:rsidRPr="006A612F">
        <w:rPr>
          <w:iCs/>
          <w:szCs w:val="17"/>
        </w:rPr>
        <w:t>Twombly</w:t>
      </w:r>
      <w:r w:rsidR="00315997" w:rsidRPr="006A612F">
        <w:rPr>
          <w:i/>
          <w:szCs w:val="17"/>
        </w:rPr>
        <w:t xml:space="preserve"> Precedent: Have </w:t>
      </w:r>
      <w:r w:rsidR="00315997" w:rsidRPr="006A612F">
        <w:rPr>
          <w:iCs/>
          <w:szCs w:val="17"/>
        </w:rPr>
        <w:t>Leatherman</w:t>
      </w:r>
      <w:r w:rsidR="00315997" w:rsidRPr="006A612F">
        <w:rPr>
          <w:i/>
          <w:szCs w:val="17"/>
        </w:rPr>
        <w:t xml:space="preserve"> and </w:t>
      </w:r>
      <w:r w:rsidR="00315997" w:rsidRPr="006A612F">
        <w:rPr>
          <w:iCs/>
          <w:szCs w:val="17"/>
        </w:rPr>
        <w:t>Swierkiewicz</w:t>
      </w:r>
      <w:r w:rsidR="00315997" w:rsidRPr="006A612F">
        <w:rPr>
          <w:i/>
          <w:szCs w:val="17"/>
        </w:rPr>
        <w:t xml:space="preserve"> Earned Retirement Too</w:t>
      </w:r>
      <w:r w:rsidR="00315997" w:rsidRPr="006A612F">
        <w:rPr>
          <w:i/>
          <w:iCs/>
          <w:szCs w:val="17"/>
        </w:rPr>
        <w:t>?</w:t>
      </w:r>
      <w:r w:rsidR="00315997" w:rsidRPr="006A612F">
        <w:rPr>
          <w:szCs w:val="17"/>
        </w:rPr>
        <w:t xml:space="preserve">, 65 </w:t>
      </w:r>
      <w:r w:rsidR="00315997" w:rsidRPr="006A612F">
        <w:rPr>
          <w:smallCaps/>
          <w:szCs w:val="17"/>
        </w:rPr>
        <w:t>Duke L. Rev.</w:t>
      </w:r>
      <w:r w:rsidR="00315997" w:rsidRPr="006A612F">
        <w:rPr>
          <w:szCs w:val="17"/>
        </w:rPr>
        <w:t xml:space="preserve"> 1521, 1522 (2016) (finding that since </w:t>
      </w:r>
      <w:r w:rsidR="00315997" w:rsidRPr="006A612F">
        <w:rPr>
          <w:i/>
          <w:iCs/>
          <w:szCs w:val="17"/>
        </w:rPr>
        <w:t>Iqbal</w:t>
      </w:r>
      <w:r w:rsidR="00315997" w:rsidRPr="006A612F">
        <w:rPr>
          <w:szCs w:val="17"/>
        </w:rPr>
        <w:t xml:space="preserve"> does not overrule pre-</w:t>
      </w:r>
      <w:r w:rsidR="00315997" w:rsidRPr="006A612F">
        <w:rPr>
          <w:i/>
          <w:iCs/>
          <w:szCs w:val="17"/>
        </w:rPr>
        <w:t>Twombly</w:t>
      </w:r>
      <w:r w:rsidR="00315997" w:rsidRPr="006A612F">
        <w:rPr>
          <w:szCs w:val="17"/>
        </w:rPr>
        <w:t xml:space="preserve"> pleading requirements, circuit and district courts are left to decide which case to apply to </w:t>
      </w:r>
      <w:r w:rsidR="00315997" w:rsidRPr="006A612F">
        <w:rPr>
          <w:color w:val="000000"/>
          <w:szCs w:val="17"/>
          <w:shd w:val="clear" w:color="auto" w:fill="FFFFFF"/>
        </w:rPr>
        <w:t>§ 1983 pleadings)</w:t>
      </w:r>
      <w:r w:rsidR="00315997" w:rsidRPr="006A612F">
        <w:rPr>
          <w:szCs w:val="17"/>
        </w:rPr>
        <w:t>.</w:t>
      </w:r>
    </w:p>
  </w:footnote>
  <w:footnote w:id="48">
    <w:p w14:paraId="3A75D705" w14:textId="253C1A8D" w:rsidR="00315997" w:rsidRPr="006A612F" w:rsidRDefault="00BF278E" w:rsidP="00AA6ED0">
      <w:pPr>
        <w:pStyle w:val="FootNote"/>
        <w:spacing w:before="0"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Ashcroft v. Iqbal, 556 U.S. 662, 678 (2009).</w:t>
      </w:r>
    </w:p>
  </w:footnote>
  <w:footnote w:id="49">
    <w:p w14:paraId="2AA5588F" w14:textId="4D030646" w:rsidR="00315997" w:rsidRPr="006A612F" w:rsidRDefault="00BF278E" w:rsidP="00AA6ED0">
      <w:pPr>
        <w:pStyle w:val="FootNote"/>
        <w:spacing w:before="0"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id.</w:t>
      </w:r>
      <w:r w:rsidR="00315997" w:rsidRPr="006A612F">
        <w:rPr>
          <w:i/>
          <w:iCs/>
          <w:szCs w:val="17"/>
        </w:rPr>
        <w:t xml:space="preserve"> </w:t>
      </w:r>
      <w:r w:rsidR="00315997" w:rsidRPr="006A612F">
        <w:rPr>
          <w:szCs w:val="17"/>
        </w:rPr>
        <w:t xml:space="preserve">at 684 (limiting its decision only </w:t>
      </w:r>
      <w:r w:rsidRPr="006A612F">
        <w:rPr>
          <w:szCs w:val="17"/>
        </w:rPr>
        <w:t>“</w:t>
      </w:r>
      <w:r w:rsidR="00315997" w:rsidRPr="006A612F">
        <w:rPr>
          <w:szCs w:val="17"/>
        </w:rPr>
        <w:t>to the determination that respondent</w:t>
      </w:r>
      <w:r w:rsidRPr="006A612F">
        <w:rPr>
          <w:szCs w:val="17"/>
        </w:rPr>
        <w:t>’</w:t>
      </w:r>
      <w:r w:rsidR="00315997" w:rsidRPr="006A612F">
        <w:rPr>
          <w:szCs w:val="17"/>
        </w:rPr>
        <w:t>s complaint does not entitle him to relief from petitioners</w:t>
      </w:r>
      <w:r w:rsidRPr="006A612F">
        <w:rPr>
          <w:szCs w:val="17"/>
        </w:rPr>
        <w:t>”</w:t>
      </w:r>
      <w:r w:rsidR="00315997" w:rsidRPr="006A612F">
        <w:rPr>
          <w:szCs w:val="17"/>
        </w:rPr>
        <w:t xml:space="preserve">). </w:t>
      </w:r>
      <w:r w:rsidR="00315997" w:rsidRPr="006A612F">
        <w:rPr>
          <w:i/>
          <w:iCs/>
          <w:szCs w:val="17"/>
        </w:rPr>
        <w:t>Iqbal</w:t>
      </w:r>
      <w:r w:rsidR="00315997" w:rsidRPr="006A612F">
        <w:rPr>
          <w:szCs w:val="17"/>
        </w:rPr>
        <w:t xml:space="preserve"> explains that for a claim to be facially plausible the court must be able to </w:t>
      </w:r>
      <w:r w:rsidRPr="006A612F">
        <w:rPr>
          <w:szCs w:val="17"/>
        </w:rPr>
        <w:t>“</w:t>
      </w:r>
      <w:r w:rsidR="00315997" w:rsidRPr="006A612F">
        <w:rPr>
          <w:szCs w:val="17"/>
        </w:rPr>
        <w:t>draw the reasonable inference that the defendant is liable for the misconduct alleged.</w:t>
      </w:r>
      <w:r w:rsidRPr="006A612F">
        <w:rPr>
          <w:szCs w:val="17"/>
        </w:rPr>
        <w:t>”</w:t>
      </w:r>
      <w:r w:rsidR="00315997" w:rsidRPr="006A612F">
        <w:rPr>
          <w:szCs w:val="17"/>
        </w:rPr>
        <w:t xml:space="preserve"> </w:t>
      </w:r>
      <w:r w:rsidR="00315997" w:rsidRPr="0024777B">
        <w:rPr>
          <w:i/>
          <w:szCs w:val="17"/>
        </w:rPr>
        <w:t>Id.</w:t>
      </w:r>
      <w:r w:rsidR="00315997" w:rsidRPr="006A612F">
        <w:rPr>
          <w:i/>
          <w:iCs/>
          <w:szCs w:val="17"/>
        </w:rPr>
        <w:t xml:space="preserve"> </w:t>
      </w:r>
      <w:r w:rsidR="00315997" w:rsidRPr="006A612F">
        <w:rPr>
          <w:szCs w:val="17"/>
        </w:rPr>
        <w:t>at 678.</w:t>
      </w:r>
      <w:r w:rsidR="00315997" w:rsidRPr="006A612F">
        <w:rPr>
          <w:b/>
          <w:szCs w:val="17"/>
        </w:rPr>
        <w:t xml:space="preserve"> </w:t>
      </w:r>
      <w:r w:rsidR="00315997" w:rsidRPr="006A612F">
        <w:rPr>
          <w:szCs w:val="17"/>
        </w:rPr>
        <w:t xml:space="preserve">A court might interpret this to require the plaintiff to prove a particular defendant is liable for the misconduct alleged. Interestingly, the majority was careful to note, </w:t>
      </w:r>
      <w:r w:rsidRPr="006A612F">
        <w:rPr>
          <w:szCs w:val="17"/>
        </w:rPr>
        <w:t>“</w:t>
      </w:r>
      <w:r w:rsidR="00315997" w:rsidRPr="006A612F">
        <w:rPr>
          <w:szCs w:val="17"/>
        </w:rPr>
        <w:t>we express no opinion concerning the sufficiency of respondent</w:t>
      </w:r>
      <w:r w:rsidRPr="006A612F">
        <w:rPr>
          <w:szCs w:val="17"/>
        </w:rPr>
        <w:t>’</w:t>
      </w:r>
      <w:r w:rsidR="00315997" w:rsidRPr="006A612F">
        <w:rPr>
          <w:szCs w:val="17"/>
        </w:rPr>
        <w:t>s complaint against the defendants who are not before us,</w:t>
      </w:r>
      <w:r w:rsidRPr="006A612F">
        <w:rPr>
          <w:szCs w:val="17"/>
        </w:rPr>
        <w:t>”</w:t>
      </w:r>
      <w:r w:rsidR="00315997" w:rsidRPr="006A612F">
        <w:rPr>
          <w:szCs w:val="17"/>
        </w:rPr>
        <w:t xml:space="preserve"> a group that included several </w:t>
      </w:r>
      <w:r w:rsidRPr="006A612F">
        <w:rPr>
          <w:szCs w:val="17"/>
        </w:rPr>
        <w:t>“</w:t>
      </w:r>
      <w:r w:rsidR="00315997" w:rsidRPr="006A612F">
        <w:rPr>
          <w:szCs w:val="17"/>
        </w:rPr>
        <w:t>John Does.</w:t>
      </w:r>
      <w:r w:rsidRPr="006A612F">
        <w:rPr>
          <w:szCs w:val="17"/>
        </w:rPr>
        <w:t>”</w:t>
      </w:r>
      <w:r w:rsidR="00315997" w:rsidRPr="006A612F">
        <w:rPr>
          <w:szCs w:val="17"/>
        </w:rPr>
        <w:t xml:space="preserve"> </w:t>
      </w:r>
      <w:r w:rsidR="00315997" w:rsidRPr="0024777B">
        <w:rPr>
          <w:i/>
          <w:szCs w:val="17"/>
        </w:rPr>
        <w:t>Id.</w:t>
      </w:r>
      <w:r w:rsidR="00315997" w:rsidRPr="006A612F">
        <w:rPr>
          <w:i/>
          <w:iCs/>
          <w:szCs w:val="17"/>
        </w:rPr>
        <w:t xml:space="preserve"> </w:t>
      </w:r>
      <w:r w:rsidR="00315997" w:rsidRPr="006A612F">
        <w:rPr>
          <w:szCs w:val="17"/>
        </w:rPr>
        <w:t>at 684.</w:t>
      </w:r>
    </w:p>
  </w:footnote>
  <w:footnote w:id="50">
    <w:p w14:paraId="24431F32" w14:textId="2FAA0A3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666, 677.</w:t>
      </w:r>
    </w:p>
  </w:footnote>
  <w:footnote w:id="51">
    <w:p w14:paraId="3E109250" w14:textId="24F375C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The Doe defendants were not before the court and the court explicitly chose not to address the sufficiency of the complaint against them. </w:t>
      </w:r>
      <w:r w:rsidR="00315997" w:rsidRPr="0024777B">
        <w:rPr>
          <w:i/>
          <w:szCs w:val="17"/>
        </w:rPr>
        <w:t>Id.</w:t>
      </w:r>
      <w:r w:rsidR="00315997" w:rsidRPr="006A612F">
        <w:rPr>
          <w:szCs w:val="17"/>
        </w:rPr>
        <w:t xml:space="preserve"> at 684.</w:t>
      </w:r>
    </w:p>
  </w:footnote>
  <w:footnote w:id="52">
    <w:p w14:paraId="1CC9D60A" w14:textId="42E30D7E"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David M. Epstein, Annotation, </w:t>
      </w:r>
      <w:r w:rsidR="00315997" w:rsidRPr="006A612F">
        <w:rPr>
          <w:i/>
          <w:iCs/>
          <w:szCs w:val="17"/>
        </w:rPr>
        <w:t>Propriety of Use of Fictitious Name of Defendant in Federal District Court</w:t>
      </w:r>
      <w:r w:rsidR="00315997" w:rsidRPr="006A612F">
        <w:rPr>
          <w:szCs w:val="17"/>
        </w:rPr>
        <w:t>, 139 A.L.R. Fed. 553 § 3[a] (1997) (explaining that plaintiffs must plead specific facts to aid in identifying the defendant in order to bring forth a claim).</w:t>
      </w:r>
    </w:p>
  </w:footnote>
  <w:footnote w:id="53">
    <w:p w14:paraId="06250259" w14:textId="502131C3"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szCs w:val="17"/>
        </w:rPr>
        <w:t xml:space="preserve"> </w:t>
      </w:r>
      <w:r w:rsidR="00315997" w:rsidRPr="006A612F">
        <w:rPr>
          <w:szCs w:val="17"/>
          <w:shd w:val="clear" w:color="auto" w:fill="FFFFFF"/>
        </w:rPr>
        <w:t>§ 2[a]. Interestingly, some courts believe that the decision to allow for Doe designees should be left up to the court</w:t>
      </w:r>
      <w:r w:rsidRPr="006A612F">
        <w:rPr>
          <w:szCs w:val="17"/>
          <w:shd w:val="clear" w:color="auto" w:fill="FFFFFF"/>
        </w:rPr>
        <w:t>’</w:t>
      </w:r>
      <w:r w:rsidR="00315997" w:rsidRPr="006A612F">
        <w:rPr>
          <w:szCs w:val="17"/>
          <w:shd w:val="clear" w:color="auto" w:fill="FFFFFF"/>
        </w:rPr>
        <w:t xml:space="preserve">s discretion. </w:t>
      </w:r>
      <w:r w:rsidR="00315997" w:rsidRPr="006A612F">
        <w:rPr>
          <w:i/>
          <w:szCs w:val="17"/>
          <w:shd w:val="clear" w:color="auto" w:fill="FFFFFF"/>
        </w:rPr>
        <w:t xml:space="preserve">See, </w:t>
      </w:r>
      <w:r w:rsidR="00315997" w:rsidRPr="0024777B">
        <w:rPr>
          <w:i/>
          <w:szCs w:val="17"/>
          <w:shd w:val="clear" w:color="auto" w:fill="FFFFFF"/>
        </w:rPr>
        <w:t>e.g.</w:t>
      </w:r>
      <w:r w:rsidR="00315997" w:rsidRPr="006A612F">
        <w:rPr>
          <w:szCs w:val="17"/>
          <w:shd w:val="clear" w:color="auto" w:fill="FFFFFF"/>
        </w:rPr>
        <w:t>,</w:t>
      </w:r>
      <w:r w:rsidR="00315997" w:rsidRPr="006A612F">
        <w:rPr>
          <w:i/>
          <w:szCs w:val="17"/>
          <w:shd w:val="clear" w:color="auto" w:fill="FFFFFF"/>
        </w:rPr>
        <w:t xml:space="preserve"> </w:t>
      </w:r>
      <w:r w:rsidR="00315997" w:rsidRPr="006A612F">
        <w:rPr>
          <w:szCs w:val="17"/>
          <w:shd w:val="clear" w:color="auto" w:fill="FFFFFF"/>
        </w:rPr>
        <w:t xml:space="preserve">Doe v. Blue Cross &amp; Blue Shield United of Wis., 112 F.3d 869, 872 (7th Cir. 1997) (noting that courts should not automatically grant the privilege of suing or defending under a fictitious name </w:t>
      </w:r>
      <w:r w:rsidRPr="006A612F">
        <w:rPr>
          <w:szCs w:val="17"/>
          <w:shd w:val="clear" w:color="auto" w:fill="FFFFFF"/>
        </w:rPr>
        <w:t>“</w:t>
      </w:r>
      <w:r w:rsidR="00315997" w:rsidRPr="006A612F">
        <w:rPr>
          <w:szCs w:val="17"/>
          <w:shd w:val="clear" w:color="auto" w:fill="FFFFFF"/>
        </w:rPr>
        <w:t>even if the opposing party does not object[,] [because] [t]he use of fictitious names is disfavored, and the judge has an independent duty to determine whether exceptional circumstances justify such a departure from the normal method of proceeding in federal courts</w:t>
      </w:r>
      <w:r w:rsidRPr="006A612F">
        <w:rPr>
          <w:szCs w:val="17"/>
          <w:shd w:val="clear" w:color="auto" w:fill="FFFFFF"/>
        </w:rPr>
        <w:t>”</w:t>
      </w:r>
      <w:r w:rsidR="00315997" w:rsidRPr="006A612F">
        <w:rPr>
          <w:szCs w:val="17"/>
          <w:shd w:val="clear" w:color="auto" w:fill="FFFFFF"/>
        </w:rPr>
        <w:t>).</w:t>
      </w:r>
    </w:p>
  </w:footnote>
  <w:footnote w:id="54">
    <w:p w14:paraId="54D7B319" w14:textId="7C5D5895"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iCs/>
          <w:szCs w:val="17"/>
        </w:rPr>
        <w:t xml:space="preserve">, </w:t>
      </w:r>
      <w:r w:rsidR="00315997" w:rsidRPr="006A612F">
        <w:rPr>
          <w:szCs w:val="17"/>
        </w:rPr>
        <w:t>Dean v. Barber, 951 F.2d 1210, 1215 &amp; n.6, 1216 (11th Cir. 1992) (allowing the use of a Doe defendant where it was clear that discovery would uncover the defendant</w:t>
      </w:r>
      <w:r w:rsidRPr="006A612F">
        <w:rPr>
          <w:szCs w:val="17"/>
        </w:rPr>
        <w:t>’</w:t>
      </w:r>
      <w:r w:rsidR="00315997" w:rsidRPr="006A612F">
        <w:rPr>
          <w:szCs w:val="17"/>
        </w:rPr>
        <w:t xml:space="preserve">s identity); </w:t>
      </w:r>
      <w:r w:rsidR="00315997" w:rsidRPr="006A612F">
        <w:rPr>
          <w:i/>
          <w:iCs/>
          <w:szCs w:val="17"/>
        </w:rPr>
        <w:t>cf.</w:t>
      </w:r>
      <w:r w:rsidR="00315997" w:rsidRPr="006A612F">
        <w:rPr>
          <w:i/>
          <w:szCs w:val="17"/>
        </w:rPr>
        <w:t xml:space="preserve"> </w:t>
      </w:r>
      <w:r w:rsidR="00315997" w:rsidRPr="006A612F">
        <w:rPr>
          <w:szCs w:val="17"/>
        </w:rPr>
        <w:t xml:space="preserve">Price v. Marsh, Civ. No. </w:t>
      </w:r>
      <w:r w:rsidR="00315997" w:rsidRPr="006A612F">
        <w:rPr>
          <w:szCs w:val="17"/>
          <w:shd w:val="clear" w:color="auto" w:fill="FFFFFF"/>
        </w:rPr>
        <w:t xml:space="preserve">2:12–cv–05442, 2013 WL 5409811, at </w:t>
      </w:r>
      <w:r w:rsidR="00315997" w:rsidRPr="006A612F">
        <w:rPr>
          <w:szCs w:val="17"/>
        </w:rPr>
        <w:t xml:space="preserve">*5 (S.D. W. Va. Sept. 25, 2013) (holding that it is not possible for a plaintiff to allege enough facts with sufficient specificity against an unknown defendant to satisfy the standards set in </w:t>
      </w:r>
      <w:r w:rsidR="00315997" w:rsidRPr="006A612F">
        <w:rPr>
          <w:i/>
          <w:iCs/>
          <w:szCs w:val="17"/>
        </w:rPr>
        <w:t xml:space="preserve">Twombly </w:t>
      </w:r>
      <w:r w:rsidR="00315997" w:rsidRPr="006A612F">
        <w:rPr>
          <w:szCs w:val="17"/>
        </w:rPr>
        <w:t xml:space="preserve">and </w:t>
      </w:r>
      <w:r w:rsidR="00315997" w:rsidRPr="006A612F">
        <w:rPr>
          <w:i/>
          <w:iCs/>
          <w:szCs w:val="17"/>
        </w:rPr>
        <w:t>Iqbal</w:t>
      </w:r>
      <w:r w:rsidR="00315997" w:rsidRPr="006A612F">
        <w:rPr>
          <w:szCs w:val="17"/>
        </w:rPr>
        <w:t>).</w:t>
      </w:r>
    </w:p>
  </w:footnote>
  <w:footnote w:id="55">
    <w:p w14:paraId="71FEAAB5" w14:textId="23ADFE3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As such, plaintiffs should be as specific as possible when describing John Doe defendants and should include specific facts tying each Doe defendant to the alleged constitutional violation. </w:t>
      </w:r>
      <w:r w:rsidR="00315997" w:rsidRPr="006A612F">
        <w:rPr>
          <w:i/>
          <w:szCs w:val="17"/>
          <w:shd w:val="clear" w:color="auto" w:fill="FFFFFF"/>
        </w:rPr>
        <w:t>See</w:t>
      </w:r>
      <w:r w:rsidR="00315997" w:rsidRPr="006A612F">
        <w:rPr>
          <w:i/>
          <w:szCs w:val="17"/>
        </w:rPr>
        <w:t xml:space="preserve"> </w:t>
      </w:r>
      <w:r w:rsidR="00315997" w:rsidRPr="006A612F">
        <w:rPr>
          <w:szCs w:val="17"/>
        </w:rPr>
        <w:t>Perez v. Does 1-10, 931 F.3d 641, 646 (8th</w:t>
      </w:r>
      <w:r w:rsidR="00315997" w:rsidRPr="006A612F">
        <w:rPr>
          <w:szCs w:val="17"/>
          <w:shd w:val="clear" w:color="auto" w:fill="FFFFFF"/>
        </w:rPr>
        <w:t xml:space="preserve"> Cir. 2019) (dismissing a claim that failed to </w:t>
      </w:r>
      <w:r w:rsidR="00315997" w:rsidRPr="006A612F">
        <w:rPr>
          <w:szCs w:val="17"/>
        </w:rPr>
        <w:t xml:space="preserve">tie any of the officer defendants to a constitutional deprivation). </w:t>
      </w:r>
      <w:r w:rsidR="00315997" w:rsidRPr="006A612F">
        <w:rPr>
          <w:szCs w:val="17"/>
          <w:shd w:val="clear" w:color="auto" w:fill="FFFFFF"/>
        </w:rPr>
        <w:t xml:space="preserve">For example, identifying the date, time, or location of an alleged incident, or the police department of an arresting officer, will be sufficient to identify a John Doe defendant in discovery. </w:t>
      </w:r>
      <w:r w:rsidR="00315997" w:rsidRPr="006A612F">
        <w:rPr>
          <w:i/>
          <w:szCs w:val="17"/>
        </w:rPr>
        <w:t xml:space="preserve">See </w:t>
      </w:r>
      <w:r w:rsidR="00315997" w:rsidRPr="006A612F">
        <w:rPr>
          <w:szCs w:val="17"/>
        </w:rPr>
        <w:t xml:space="preserve">Bowens v. Superintendent of Mia. S. Beach Police Dept., </w:t>
      </w:r>
      <w:r w:rsidR="00315997" w:rsidRPr="006A612F">
        <w:rPr>
          <w:szCs w:val="17"/>
          <w:shd w:val="clear" w:color="auto" w:fill="FFFFFF"/>
        </w:rPr>
        <w:t>557 F.</w:t>
      </w:r>
      <w:r w:rsidR="00315997" w:rsidRPr="006A612F">
        <w:rPr>
          <w:szCs w:val="17"/>
        </w:rPr>
        <w:t xml:space="preserve"> App</w:t>
      </w:r>
      <w:r w:rsidRPr="006A612F">
        <w:rPr>
          <w:szCs w:val="17"/>
        </w:rPr>
        <w:t>’</w:t>
      </w:r>
      <w:r w:rsidR="00315997" w:rsidRPr="006A612F">
        <w:rPr>
          <w:szCs w:val="17"/>
        </w:rPr>
        <w:t>x 857, 862 (11th Cir. 2014) (holding that the plaintiff</w:t>
      </w:r>
      <w:r w:rsidRPr="006A612F">
        <w:rPr>
          <w:szCs w:val="17"/>
        </w:rPr>
        <w:t>’</w:t>
      </w:r>
      <w:r w:rsidR="00315997" w:rsidRPr="006A612F">
        <w:rPr>
          <w:szCs w:val="17"/>
        </w:rPr>
        <w:t xml:space="preserve">s identification of the </w:t>
      </w:r>
      <w:r w:rsidRPr="006A612F">
        <w:rPr>
          <w:szCs w:val="17"/>
        </w:rPr>
        <w:t>“</w:t>
      </w:r>
      <w:r w:rsidR="00315997" w:rsidRPr="006A612F">
        <w:rPr>
          <w:szCs w:val="17"/>
        </w:rPr>
        <w:t>Arresting Officer(s) of Miami South Beach Police Department</w:t>
      </w:r>
      <w:r w:rsidRPr="006A612F">
        <w:rPr>
          <w:szCs w:val="17"/>
        </w:rPr>
        <w:t>”</w:t>
      </w:r>
      <w:r w:rsidR="00315997" w:rsidRPr="006A612F">
        <w:rPr>
          <w:szCs w:val="17"/>
        </w:rPr>
        <w:t xml:space="preserve"> was sufficient to demonstrate that the defendants</w:t>
      </w:r>
      <w:r w:rsidRPr="006A612F">
        <w:rPr>
          <w:szCs w:val="17"/>
        </w:rPr>
        <w:t>’</w:t>
      </w:r>
      <w:r w:rsidR="00315997" w:rsidRPr="006A612F">
        <w:rPr>
          <w:szCs w:val="17"/>
        </w:rPr>
        <w:t xml:space="preserve"> identities were discoverable).</w:t>
      </w:r>
      <w:r w:rsidR="00315997" w:rsidRPr="006A612F">
        <w:rPr>
          <w:b/>
          <w:bCs/>
          <w:szCs w:val="17"/>
        </w:rPr>
        <w:t xml:space="preserve"> </w:t>
      </w:r>
      <w:r w:rsidR="00315997" w:rsidRPr="006A612F">
        <w:rPr>
          <w:szCs w:val="17"/>
        </w:rPr>
        <w:t xml:space="preserve">Some circuits are more flexible with this requirement, allowing plaintiffs to express facts regarding the Doe defendants as </w:t>
      </w:r>
      <w:r w:rsidRPr="006A612F">
        <w:rPr>
          <w:szCs w:val="17"/>
        </w:rPr>
        <w:t>“</w:t>
      </w:r>
      <w:r w:rsidR="00315997" w:rsidRPr="006A612F">
        <w:rPr>
          <w:szCs w:val="17"/>
        </w:rPr>
        <w:t>best as possible</w:t>
      </w:r>
      <w:r w:rsidRPr="006A612F">
        <w:rPr>
          <w:szCs w:val="17"/>
        </w:rPr>
        <w:t>”</w:t>
      </w:r>
      <w:r w:rsidR="00315997" w:rsidRPr="006A612F">
        <w:rPr>
          <w:szCs w:val="17"/>
        </w:rPr>
        <w:t xml:space="preserve"> at the time of filing. </w:t>
      </w:r>
      <w:r w:rsidR="00315997" w:rsidRPr="0024777B">
        <w:rPr>
          <w:i/>
          <w:szCs w:val="17"/>
        </w:rPr>
        <w:t>E.g.</w:t>
      </w:r>
      <w:r w:rsidR="00315997" w:rsidRPr="006A612F">
        <w:rPr>
          <w:szCs w:val="17"/>
        </w:rPr>
        <w:t xml:space="preserve">, Estate of Osuna v. County of Stanislaus, 392 F. Supp. 3d 1162, 1169 </w:t>
      </w:r>
      <w:r w:rsidR="00315997" w:rsidRPr="006A612F">
        <w:rPr>
          <w:rFonts w:eastAsia="Calibri"/>
          <w:szCs w:val="17"/>
        </w:rPr>
        <w:t>(E.D. Cal. 2019).</w:t>
      </w:r>
    </w:p>
  </w:footnote>
  <w:footnote w:id="56">
    <w:p w14:paraId="2487A9F5" w14:textId="4B7265D3" w:rsidR="00315997" w:rsidRPr="006A612F" w:rsidRDefault="00BF278E" w:rsidP="00AA6ED0">
      <w:pPr>
        <w:pStyle w:val="FootNote"/>
        <w:spacing w:before="0"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Osuna</w:t>
      </w:r>
      <w:r w:rsidR="00315997" w:rsidRPr="006A612F">
        <w:rPr>
          <w:szCs w:val="17"/>
        </w:rPr>
        <w:t>, 392 F. Supp. 3d at 1169.</w:t>
      </w:r>
    </w:p>
  </w:footnote>
  <w:footnote w:id="57">
    <w:p w14:paraId="51E7DFC8" w14:textId="0856AEBE"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Solomon v. City of Rochester, 449 F. Supp. 3d 104, 110–11 (W.D.N.Y. 2020) (granting summary judgment for the Doe defendants because the plaintiff failed to identify them during discovery).</w:t>
      </w:r>
    </w:p>
  </w:footnote>
  <w:footnote w:id="58">
    <w:p w14:paraId="378D9826" w14:textId="3140F44B"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Yelp Inc. v. Superior Court, 224 Cal. Rptr. 3d 887, 902 (Cal. Ct. App. 2017).</w:t>
      </w:r>
    </w:p>
  </w:footnote>
  <w:footnote w:id="59">
    <w:p w14:paraId="4E12CB49" w14:textId="07634A46"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Harlow v. Fitzgerald, 457 U.S. 800, 818 (1982) (</w:t>
      </w:r>
      <w:r w:rsidRPr="006A612F">
        <w:rPr>
          <w:szCs w:val="17"/>
        </w:rPr>
        <w:t>“</w:t>
      </w:r>
      <w:r w:rsidR="00315997" w:rsidRPr="006A612F">
        <w:rPr>
          <w:szCs w:val="17"/>
        </w:rPr>
        <w:t>Until this threshold immunity question is resolved, discovery should not be allowed.</w:t>
      </w:r>
      <w:r w:rsidRPr="006A612F">
        <w:rPr>
          <w:szCs w:val="17"/>
        </w:rPr>
        <w:t>”</w:t>
      </w:r>
      <w:r w:rsidR="00315997" w:rsidRPr="006A612F">
        <w:rPr>
          <w:szCs w:val="17"/>
        </w:rPr>
        <w:t>).</w:t>
      </w:r>
    </w:p>
  </w:footnote>
  <w:footnote w:id="60">
    <w:p w14:paraId="420D956C" w14:textId="5406DFD8" w:rsidR="00315997" w:rsidRPr="006A612F" w:rsidRDefault="00BF278E" w:rsidP="00AA6ED0">
      <w:pPr>
        <w:pStyle w:val="FootNote"/>
        <w:spacing w:line="240" w:lineRule="auto"/>
        <w:rPr>
          <w:b/>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As in most federal civil litigation cases, the primary discovery tools in a </w:t>
      </w:r>
      <w:r w:rsidR="002C288A" w:rsidRPr="006A612F">
        <w:rPr>
          <w:szCs w:val="17"/>
        </w:rPr>
        <w:t>§ </w:t>
      </w:r>
      <w:r w:rsidR="00315997" w:rsidRPr="006A612F">
        <w:rPr>
          <w:szCs w:val="17"/>
        </w:rPr>
        <w:t>1983 civil rights action include initial disclosures, interrogatories, requests for production of documents, requests for admissions, and depositions</w:t>
      </w:r>
      <w:r w:rsidR="00315997" w:rsidRPr="006A612F">
        <w:rPr>
          <w:smallCaps/>
          <w:szCs w:val="17"/>
        </w:rPr>
        <w:t xml:space="preserve">. </w:t>
      </w:r>
      <w:r w:rsidR="00315997" w:rsidRPr="006A612F">
        <w:rPr>
          <w:i/>
          <w:iCs/>
          <w:szCs w:val="17"/>
        </w:rPr>
        <w:t xml:space="preserve">See </w:t>
      </w:r>
      <w:r w:rsidR="00315997" w:rsidRPr="006A612F">
        <w:rPr>
          <w:smallCaps/>
          <w:szCs w:val="17"/>
        </w:rPr>
        <w:t>Fed. R. Civ. P</w:t>
      </w:r>
      <w:r w:rsidR="00315997" w:rsidRPr="006A612F">
        <w:rPr>
          <w:szCs w:val="17"/>
        </w:rPr>
        <w:t>. 26–37 (stating the discovery rules).</w:t>
      </w:r>
    </w:p>
  </w:footnote>
  <w:footnote w:id="61">
    <w:p w14:paraId="1E2A2B46" w14:textId="7B71C66C"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Wasserman, </w:t>
      </w:r>
      <w:r w:rsidR="00315997" w:rsidRPr="006A612F">
        <w:rPr>
          <w:i/>
          <w:szCs w:val="17"/>
        </w:rPr>
        <w:t>supra</w:t>
      </w:r>
      <w:r w:rsidR="00315997" w:rsidRPr="006A612F">
        <w:rPr>
          <w:szCs w:val="17"/>
        </w:rPr>
        <w:t xml:space="preserve"> note </w:t>
      </w:r>
      <w:r w:rsidR="00315997" w:rsidRPr="006A612F">
        <w:rPr>
          <w:szCs w:val="17"/>
        </w:rPr>
        <w:fldChar w:fldCharType="begin"/>
      </w:r>
      <w:r w:rsidR="00315997" w:rsidRPr="006A612F">
        <w:rPr>
          <w:szCs w:val="17"/>
        </w:rPr>
        <w:instrText xml:space="preserve"> NOTEREF _Ref83809987 \h  \* MERGEFORMAT </w:instrText>
      </w:r>
      <w:r w:rsidR="00315997" w:rsidRPr="006A612F">
        <w:rPr>
          <w:szCs w:val="17"/>
        </w:rPr>
      </w:r>
      <w:r w:rsidR="00315997" w:rsidRPr="006A612F">
        <w:rPr>
          <w:szCs w:val="17"/>
        </w:rPr>
        <w:fldChar w:fldCharType="separate"/>
      </w:r>
      <w:r w:rsidR="00AA6ED0" w:rsidRPr="006A612F">
        <w:rPr>
          <w:szCs w:val="17"/>
        </w:rPr>
        <w:t>33</w:t>
      </w:r>
      <w:r w:rsidR="00315997" w:rsidRPr="006A612F">
        <w:rPr>
          <w:szCs w:val="17"/>
        </w:rPr>
        <w:fldChar w:fldCharType="end"/>
      </w:r>
      <w:r w:rsidR="00315997" w:rsidRPr="006A612F">
        <w:rPr>
          <w:szCs w:val="17"/>
        </w:rPr>
        <w:t>, at 797–800.</w:t>
      </w:r>
    </w:p>
  </w:footnote>
  <w:footnote w:id="62">
    <w:p w14:paraId="55C6B27B" w14:textId="0DD3619A" w:rsidR="00315997" w:rsidRPr="006A612F" w:rsidRDefault="00BF278E" w:rsidP="00AA6ED0">
      <w:pPr>
        <w:pStyle w:val="FootNote"/>
        <w:spacing w:before="0" w:line="240" w:lineRule="auto"/>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Fed. R. Civ. P</w:t>
      </w:r>
      <w:r w:rsidR="00315997" w:rsidRPr="006A612F">
        <w:rPr>
          <w:szCs w:val="17"/>
        </w:rPr>
        <w:t>. 26(a)(1)(A).</w:t>
      </w:r>
    </w:p>
  </w:footnote>
  <w:footnote w:id="63">
    <w:p w14:paraId="52CAEA81" w14:textId="3A68CCEC" w:rsidR="00315997" w:rsidRPr="006A612F" w:rsidRDefault="00BF278E" w:rsidP="00AA6ED0">
      <w:pPr>
        <w:pStyle w:val="FootNote"/>
        <w:spacing w:before="0"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Fed. R. Civ. P.</w:t>
      </w:r>
      <w:r w:rsidR="00315997" w:rsidRPr="006A612F">
        <w:rPr>
          <w:szCs w:val="17"/>
        </w:rPr>
        <w:t xml:space="preserve"> 26(a)(1)(A), (E).</w:t>
      </w:r>
    </w:p>
  </w:footnote>
  <w:footnote w:id="64">
    <w:p w14:paraId="4D933B0B" w14:textId="4975781F"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 xml:space="preserve">Carol M. Rice, </w:t>
      </w:r>
      <w:r w:rsidR="00315997" w:rsidRPr="006A612F">
        <w:rPr>
          <w:i/>
          <w:szCs w:val="17"/>
        </w:rPr>
        <w:t>Meet John Doe: It Is Time for Federal Civil Procedure to Recognize John Doe Parties</w:t>
      </w:r>
      <w:r w:rsidR="00315997" w:rsidRPr="006A612F">
        <w:rPr>
          <w:szCs w:val="17"/>
        </w:rPr>
        <w:t xml:space="preserve">, 57 </w:t>
      </w:r>
      <w:r w:rsidR="00315997" w:rsidRPr="006A612F">
        <w:rPr>
          <w:smallCaps/>
          <w:szCs w:val="17"/>
        </w:rPr>
        <w:t>U. Pitt. L. Rev.</w:t>
      </w:r>
      <w:r w:rsidR="00315997" w:rsidRPr="006A612F">
        <w:rPr>
          <w:szCs w:val="17"/>
        </w:rPr>
        <w:t xml:space="preserve"> 883, 896 (1996) (</w:t>
      </w:r>
      <w:r w:rsidRPr="006A612F">
        <w:rPr>
          <w:szCs w:val="17"/>
        </w:rPr>
        <w:t>“</w:t>
      </w:r>
      <w:r w:rsidR="00315997" w:rsidRPr="006A612F">
        <w:rPr>
          <w:szCs w:val="17"/>
        </w:rPr>
        <w:t>He cannot get the court</w:t>
      </w:r>
      <w:r w:rsidRPr="006A612F">
        <w:rPr>
          <w:szCs w:val="17"/>
        </w:rPr>
        <w:t>’</w:t>
      </w:r>
      <w:r w:rsidR="00315997" w:rsidRPr="006A612F">
        <w:rPr>
          <w:szCs w:val="17"/>
        </w:rPr>
        <w:t xml:space="preserve">s help in identifying the officer until he files suit </w:t>
      </w:r>
      <w:r w:rsidRPr="006A612F">
        <w:rPr>
          <w:szCs w:val="17"/>
        </w:rPr>
        <w:t>. . . .”</w:t>
      </w:r>
      <w:r w:rsidR="00315997" w:rsidRPr="006A612F">
        <w:rPr>
          <w:szCs w:val="17"/>
        </w:rPr>
        <w:t xml:space="preserve">); </w:t>
      </w:r>
      <w:r w:rsidR="00315997" w:rsidRPr="006A612F">
        <w:rPr>
          <w:i/>
          <w:szCs w:val="17"/>
        </w:rPr>
        <w:t>see also</w:t>
      </w:r>
      <w:r w:rsidR="00315997" w:rsidRPr="006A612F">
        <w:rPr>
          <w:szCs w:val="17"/>
        </w:rPr>
        <w:t xml:space="preserve"> </w:t>
      </w:r>
      <w:r w:rsidR="00315997" w:rsidRPr="006A612F">
        <w:rPr>
          <w:smallCaps/>
          <w:szCs w:val="17"/>
        </w:rPr>
        <w:t>Fed. R. Civ.</w:t>
      </w:r>
      <w:r w:rsidR="00315997" w:rsidRPr="006A612F">
        <w:rPr>
          <w:szCs w:val="17"/>
        </w:rPr>
        <w:t xml:space="preserve"> P. 26(d)(1) (providing that, generally, parties must confer before seeking discovery).</w:t>
      </w:r>
    </w:p>
  </w:footnote>
  <w:footnote w:id="65">
    <w:p w14:paraId="244CE938" w14:textId="3809EE48"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Alvarez v. City of New York, 134 A.D.3d 599, 605 (N.Y. App. Div. 2015) (holding that a plaintiff must, at minimum, name a </w:t>
      </w:r>
      <w:r w:rsidRPr="006A612F">
        <w:rPr>
          <w:szCs w:val="17"/>
        </w:rPr>
        <w:t>“</w:t>
      </w:r>
      <w:r w:rsidR="00315997" w:rsidRPr="006A612F">
        <w:rPr>
          <w:szCs w:val="17"/>
        </w:rPr>
        <w:t>John Doe</w:t>
      </w:r>
      <w:r w:rsidRPr="006A612F">
        <w:rPr>
          <w:szCs w:val="17"/>
        </w:rPr>
        <w:t>”</w:t>
      </w:r>
      <w:r w:rsidR="00315997" w:rsidRPr="006A612F">
        <w:rPr>
          <w:szCs w:val="17"/>
        </w:rPr>
        <w:t xml:space="preserve"> as a defendant along with a municipality).</w:t>
      </w:r>
    </w:p>
  </w:footnote>
  <w:footnote w:id="66">
    <w:p w14:paraId="359BC31D" w14:textId="6FCF5C7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In </w:t>
      </w:r>
      <w:r w:rsidR="00315997" w:rsidRPr="006A612F">
        <w:rPr>
          <w:i/>
          <w:iCs/>
          <w:szCs w:val="17"/>
        </w:rPr>
        <w:t>Monell</w:t>
      </w:r>
      <w:r w:rsidR="00315997" w:rsidRPr="006A612F">
        <w:rPr>
          <w:szCs w:val="17"/>
        </w:rPr>
        <w:t>, the U.S. Supreme Court reversed its precedent and held that municipalities were subject to suit. However, it also provided the limitation that municipalities could not be held liable under the doctrine of respondeat superior. Monell v. Dep</w:t>
      </w:r>
      <w:r w:rsidRPr="006A612F">
        <w:rPr>
          <w:szCs w:val="17"/>
        </w:rPr>
        <w:t>’</w:t>
      </w:r>
      <w:r w:rsidR="00315997" w:rsidRPr="006A612F">
        <w:rPr>
          <w:szCs w:val="17"/>
        </w:rPr>
        <w:t xml:space="preserve">t of Soc. Servs. of N.Y.C., 436 U.S. 658, 690–91 (1978); </w:t>
      </w:r>
      <w:r w:rsidR="00315997" w:rsidRPr="006A612F">
        <w:rPr>
          <w:i/>
          <w:szCs w:val="17"/>
        </w:rPr>
        <w:t>see also</w:t>
      </w:r>
      <w:r w:rsidR="00315997" w:rsidRPr="006A612F">
        <w:rPr>
          <w:szCs w:val="17"/>
        </w:rPr>
        <w:t xml:space="preserve"> Mike Jilka, </w:t>
      </w:r>
      <w:r w:rsidR="00315997" w:rsidRPr="006A612F">
        <w:rPr>
          <w:i/>
          <w:szCs w:val="17"/>
        </w:rPr>
        <w:t>Municipal Government Liability Under Section 1983</w:t>
      </w:r>
      <w:r w:rsidR="00315997" w:rsidRPr="006A612F">
        <w:rPr>
          <w:szCs w:val="17"/>
        </w:rPr>
        <w:t xml:space="preserve">, 22 J. </w:t>
      </w:r>
      <w:r w:rsidR="00315997" w:rsidRPr="006A612F">
        <w:rPr>
          <w:smallCaps/>
          <w:szCs w:val="17"/>
        </w:rPr>
        <w:t>Kan. B. Ass</w:t>
      </w:r>
      <w:r w:rsidRPr="006A612F">
        <w:rPr>
          <w:smallCaps/>
          <w:szCs w:val="17"/>
        </w:rPr>
        <w:t>’</w:t>
      </w:r>
      <w:r w:rsidR="00315997" w:rsidRPr="006A612F">
        <w:rPr>
          <w:smallCaps/>
          <w:szCs w:val="17"/>
        </w:rPr>
        <w:t>n</w:t>
      </w:r>
      <w:r w:rsidR="00315997" w:rsidRPr="006A612F">
        <w:rPr>
          <w:szCs w:val="17"/>
        </w:rPr>
        <w:t xml:space="preserve"> 23 (1998) (describing the </w:t>
      </w:r>
      <w:r w:rsidRPr="006A612F">
        <w:rPr>
          <w:szCs w:val="17"/>
        </w:rPr>
        <w:t>“</w:t>
      </w:r>
      <w:r w:rsidR="00315997" w:rsidRPr="006A612F">
        <w:rPr>
          <w:szCs w:val="17"/>
        </w:rPr>
        <w:t>four situations in which a municipality can be said to have violated the constitutional rights of an individual because of its policy or custom</w:t>
      </w:r>
      <w:r w:rsidRPr="006A612F">
        <w:rPr>
          <w:szCs w:val="17"/>
        </w:rPr>
        <w:t>”</w:t>
      </w:r>
      <w:r w:rsidR="00315997" w:rsidRPr="006A612F">
        <w:rPr>
          <w:szCs w:val="17"/>
        </w:rPr>
        <w:t xml:space="preserve">). This holding makes it difficult to prove municipal liability. However, it is still beneficial to list the municipality in the original complaint because they will have information about the officers who were present and may reveal this information in the initial disclosures. </w:t>
      </w:r>
      <w:r w:rsidR="00315997" w:rsidRPr="006A612F">
        <w:rPr>
          <w:i/>
          <w:szCs w:val="17"/>
        </w:rPr>
        <w:t>See</w:t>
      </w:r>
      <w:r w:rsidR="00315997" w:rsidRPr="006A612F">
        <w:rPr>
          <w:szCs w:val="17"/>
        </w:rPr>
        <w:t xml:space="preserve"> Wasserman, </w:t>
      </w:r>
      <w:r w:rsidR="00315997" w:rsidRPr="006A612F">
        <w:rPr>
          <w:i/>
          <w:szCs w:val="17"/>
        </w:rPr>
        <w:t>supra</w:t>
      </w:r>
      <w:r w:rsidR="00315997" w:rsidRPr="006A612F">
        <w:rPr>
          <w:szCs w:val="17"/>
        </w:rPr>
        <w:t xml:space="preserve"> note </w:t>
      </w:r>
      <w:r w:rsidR="00315997" w:rsidRPr="006A612F">
        <w:rPr>
          <w:szCs w:val="17"/>
        </w:rPr>
        <w:fldChar w:fldCharType="begin"/>
      </w:r>
      <w:r w:rsidR="00315997" w:rsidRPr="006A612F">
        <w:rPr>
          <w:szCs w:val="17"/>
        </w:rPr>
        <w:instrText xml:space="preserve"> NOTEREF _Ref83809987 \h  \* MERGEFORMAT </w:instrText>
      </w:r>
      <w:r w:rsidR="00315997" w:rsidRPr="006A612F">
        <w:rPr>
          <w:szCs w:val="17"/>
        </w:rPr>
      </w:r>
      <w:r w:rsidR="00315997" w:rsidRPr="006A612F">
        <w:rPr>
          <w:szCs w:val="17"/>
        </w:rPr>
        <w:fldChar w:fldCharType="separate"/>
      </w:r>
      <w:r w:rsidR="00AA6ED0" w:rsidRPr="006A612F">
        <w:rPr>
          <w:szCs w:val="17"/>
        </w:rPr>
        <w:t>33</w:t>
      </w:r>
      <w:r w:rsidR="00315997" w:rsidRPr="006A612F">
        <w:rPr>
          <w:szCs w:val="17"/>
        </w:rPr>
        <w:fldChar w:fldCharType="end"/>
      </w:r>
      <w:r w:rsidR="00315997" w:rsidRPr="006A612F">
        <w:rPr>
          <w:szCs w:val="17"/>
        </w:rPr>
        <w:t>, at 796 (recounting how a municipal defendant identified John Doe officers in its response to the plaintiff</w:t>
      </w:r>
      <w:r w:rsidRPr="006A612F">
        <w:rPr>
          <w:szCs w:val="17"/>
        </w:rPr>
        <w:t>’</w:t>
      </w:r>
      <w:r w:rsidR="00315997" w:rsidRPr="006A612F">
        <w:rPr>
          <w:szCs w:val="17"/>
        </w:rPr>
        <w:t xml:space="preserve">s interrogatories); </w:t>
      </w:r>
      <w:r w:rsidR="00315997" w:rsidRPr="006A612F">
        <w:rPr>
          <w:i/>
          <w:szCs w:val="17"/>
        </w:rPr>
        <w:t xml:space="preserve">see also </w:t>
      </w:r>
      <w:r w:rsidR="00315997" w:rsidRPr="006A612F">
        <w:rPr>
          <w:smallCaps/>
          <w:szCs w:val="17"/>
        </w:rPr>
        <w:t>Fed. R. Civ</w:t>
      </w:r>
      <w:r w:rsidR="00315997" w:rsidRPr="006A612F">
        <w:rPr>
          <w:szCs w:val="17"/>
        </w:rPr>
        <w:t xml:space="preserve">. P. 26(a)(1)(A) (providing for mandatory initial disclosures by each party of, </w:t>
      </w:r>
      <w:r w:rsidR="00315997" w:rsidRPr="006A612F">
        <w:rPr>
          <w:i/>
          <w:iCs/>
          <w:szCs w:val="17"/>
        </w:rPr>
        <w:t>inter alia</w:t>
      </w:r>
      <w:r w:rsidR="00315997" w:rsidRPr="006A612F">
        <w:rPr>
          <w:szCs w:val="17"/>
        </w:rPr>
        <w:t xml:space="preserve">, the </w:t>
      </w:r>
      <w:r w:rsidRPr="006A612F">
        <w:rPr>
          <w:szCs w:val="17"/>
        </w:rPr>
        <w:t>“</w:t>
      </w:r>
      <w:r w:rsidR="00315997" w:rsidRPr="006A612F">
        <w:rPr>
          <w:szCs w:val="17"/>
        </w:rPr>
        <w:t xml:space="preserve">name </w:t>
      </w:r>
      <w:r w:rsidRPr="006A612F">
        <w:rPr>
          <w:szCs w:val="17"/>
        </w:rPr>
        <w:t>. . .</w:t>
      </w:r>
      <w:r w:rsidR="00315997" w:rsidRPr="006A612F">
        <w:rPr>
          <w:szCs w:val="17"/>
        </w:rPr>
        <w:t xml:space="preserve"> of each individual likely to have discoverable information </w:t>
      </w:r>
      <w:r w:rsidRPr="006A612F">
        <w:rPr>
          <w:szCs w:val="17"/>
        </w:rPr>
        <w:t>. . .</w:t>
      </w:r>
      <w:r w:rsidR="00315997" w:rsidRPr="006A612F">
        <w:rPr>
          <w:szCs w:val="17"/>
        </w:rPr>
        <w:t xml:space="preserve"> that the disclosing party may use to support its claims or defenses</w:t>
      </w:r>
      <w:r w:rsidRPr="006A612F">
        <w:rPr>
          <w:szCs w:val="17"/>
        </w:rPr>
        <w:t>”</w:t>
      </w:r>
      <w:r w:rsidR="00315997" w:rsidRPr="006A612F">
        <w:rPr>
          <w:szCs w:val="17"/>
        </w:rPr>
        <w:t>).</w:t>
      </w:r>
      <w:r w:rsidR="00315997" w:rsidRPr="006A612F" w:rsidDel="007A39DB">
        <w:rPr>
          <w:szCs w:val="17"/>
        </w:rPr>
        <w:t xml:space="preserve"> </w:t>
      </w:r>
      <w:r w:rsidR="00315997" w:rsidRPr="006A612F">
        <w:rPr>
          <w:szCs w:val="17"/>
        </w:rPr>
        <w:t>However, if the municipality is dismissed before the discovery, then it will be extremely difficult to identify the officers without outside evidence, such as cell phone videos.</w:t>
      </w:r>
    </w:p>
  </w:footnote>
  <w:footnote w:id="67">
    <w:p w14:paraId="33990B19" w14:textId="6EFB496C" w:rsidR="00315997" w:rsidRPr="006A612F" w:rsidRDefault="00BF278E" w:rsidP="00AA6ED0">
      <w:pPr>
        <w:pStyle w:val="FootNote"/>
        <w:spacing w:before="0"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An example interrogatory question is: State the full name, badge, or identification number, rank or title, date of birth, and present height and weight of all officers or employees of the municipality who participated in the arrest of the plaintiff. Another example question is: Describe in detail the events leading up to and following the arrest, injury, and detention of the plaintiff.</w:t>
      </w:r>
    </w:p>
  </w:footnote>
  <w:footnote w:id="68">
    <w:p w14:paraId="114B9693" w14:textId="75B42BD8" w:rsidR="00315997" w:rsidRPr="006A612F" w:rsidRDefault="00BF278E" w:rsidP="00AA6ED0">
      <w:pPr>
        <w:pStyle w:val="FootNote"/>
        <w:spacing w:before="0"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Fed. R. Civ.</w:t>
      </w:r>
      <w:r w:rsidR="00315997" w:rsidRPr="006A612F">
        <w:rPr>
          <w:szCs w:val="17"/>
        </w:rPr>
        <w:t xml:space="preserve"> P. 34.</w:t>
      </w:r>
    </w:p>
  </w:footnote>
  <w:footnote w:id="69">
    <w:p w14:paraId="1BDC4CBD" w14:textId="0860D741" w:rsidR="00315997" w:rsidRPr="006A612F" w:rsidRDefault="00BF278E" w:rsidP="00AA6ED0">
      <w:pPr>
        <w:pStyle w:val="FootNote"/>
        <w:spacing w:line="240" w:lineRule="auto"/>
        <w:rPr>
          <w:szCs w:val="17"/>
          <w:shd w:val="clear" w:color="auto" w:fill="FFFFFF"/>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For example, many police departments require a use-of-force report to be filed any time an officer uses force against a civilian in the line of duty. The report describes the circumstances of the event and the nature of the force that was used. </w:t>
      </w:r>
      <w:r w:rsidR="00315997" w:rsidRPr="006A612F">
        <w:rPr>
          <w:smallCaps/>
          <w:szCs w:val="17"/>
        </w:rPr>
        <w:t>U.S. Dep</w:t>
      </w:r>
      <w:r w:rsidRPr="006A612F">
        <w:rPr>
          <w:smallCaps/>
          <w:szCs w:val="17"/>
        </w:rPr>
        <w:t>’</w:t>
      </w:r>
      <w:r w:rsidR="00315997" w:rsidRPr="006A612F">
        <w:rPr>
          <w:smallCaps/>
          <w:szCs w:val="17"/>
        </w:rPr>
        <w:t>t of Just., Off. of Just. Programs, Nat</w:t>
      </w:r>
      <w:r w:rsidRPr="006A612F">
        <w:rPr>
          <w:smallCaps/>
          <w:szCs w:val="17"/>
        </w:rPr>
        <w:t>’</w:t>
      </w:r>
      <w:r w:rsidR="00315997" w:rsidRPr="006A612F">
        <w:rPr>
          <w:smallCaps/>
          <w:szCs w:val="17"/>
        </w:rPr>
        <w:t>l Inst. of Just</w:t>
      </w:r>
      <w:r w:rsidR="00315997" w:rsidRPr="006A612F">
        <w:rPr>
          <w:szCs w:val="17"/>
        </w:rPr>
        <w:t xml:space="preserve">., </w:t>
      </w:r>
      <w:r w:rsidR="00315997" w:rsidRPr="006A612F">
        <w:rPr>
          <w:smallCaps/>
          <w:szCs w:val="17"/>
        </w:rPr>
        <w:t>Use of Force by Police: Overview of National and Local Data</w:t>
      </w:r>
      <w:r w:rsidR="00315997" w:rsidRPr="006A612F">
        <w:rPr>
          <w:szCs w:val="17"/>
        </w:rPr>
        <w:t xml:space="preserve"> 65 (1999).</w:t>
      </w:r>
      <w:r w:rsidR="00315997" w:rsidRPr="006A612F" w:rsidDel="003E55A3">
        <w:rPr>
          <w:szCs w:val="17"/>
        </w:rPr>
        <w:t xml:space="preserve"> </w:t>
      </w:r>
      <w:r w:rsidR="00315997" w:rsidRPr="006A612F">
        <w:rPr>
          <w:szCs w:val="17"/>
        </w:rPr>
        <w:t>Obtaining this information during discovery often will allow the plaintiff</w:t>
      </w:r>
      <w:r w:rsidRPr="006A612F">
        <w:rPr>
          <w:szCs w:val="17"/>
        </w:rPr>
        <w:t>’</w:t>
      </w:r>
      <w:r w:rsidR="00315997" w:rsidRPr="006A612F">
        <w:rPr>
          <w:szCs w:val="17"/>
        </w:rPr>
        <w:t>s attorney to build affirmative support for the allegations in the complaint.</w:t>
      </w:r>
    </w:p>
  </w:footnote>
  <w:footnote w:id="70">
    <w:p w14:paraId="6D789F23" w14:textId="484AC575"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As an example, on April 4, 2015, a police officer, Michael T. Slager, shot Walter Scott, an unarmed Black man. Slager initially radioed that Scott had attacked him with his own taser and that he had shot Scott in self-defense. However, a bystander caught the incident on his cellphone camera, and it revealed that Scott was shot in the back while running away from the officer. Michael S. Schmidt &amp; Matt Apuzzo</w:t>
      </w:r>
      <w:r w:rsidR="00315997" w:rsidRPr="006A612F">
        <w:rPr>
          <w:iCs/>
          <w:szCs w:val="17"/>
        </w:rPr>
        <w:t xml:space="preserve">, </w:t>
      </w:r>
      <w:r w:rsidR="00315997" w:rsidRPr="006A612F">
        <w:rPr>
          <w:i/>
          <w:szCs w:val="17"/>
        </w:rPr>
        <w:t>South Carolina Officer Is Charged with Murder of Walter Scott</w:t>
      </w:r>
      <w:r w:rsidR="00315997" w:rsidRPr="006A612F">
        <w:rPr>
          <w:szCs w:val="17"/>
        </w:rPr>
        <w:t xml:space="preserve">, </w:t>
      </w:r>
      <w:r w:rsidR="00315997" w:rsidRPr="006A612F">
        <w:rPr>
          <w:smallCaps/>
          <w:szCs w:val="17"/>
        </w:rPr>
        <w:t>N.Y. Times</w:t>
      </w:r>
      <w:r w:rsidR="00315997" w:rsidRPr="006A612F">
        <w:rPr>
          <w:szCs w:val="17"/>
        </w:rPr>
        <w:t xml:space="preserve"> (Apr. 7, 2015), </w:t>
      </w:r>
      <w:r w:rsidRPr="006A612F">
        <w:rPr>
          <w:szCs w:val="17"/>
        </w:rPr>
        <w:t>http://‌</w:t>
      </w:r>
      <w:r w:rsidR="00315997" w:rsidRPr="006A612F">
        <w:rPr>
          <w:szCs w:val="17"/>
        </w:rPr>
        <w:t>www.nytimes.com</w:t>
      </w:r>
      <w:r w:rsidRPr="006A612F">
        <w:rPr>
          <w:szCs w:val="17"/>
        </w:rPr>
        <w:t>‌/</w:t>
      </w:r>
      <w:r w:rsidR="00315997" w:rsidRPr="006A612F">
        <w:rPr>
          <w:szCs w:val="17"/>
        </w:rPr>
        <w:t>2015</w:t>
      </w:r>
      <w:r w:rsidRPr="006A612F">
        <w:rPr>
          <w:szCs w:val="17"/>
        </w:rPr>
        <w:t>‌/</w:t>
      </w:r>
      <w:r w:rsidR="00315997" w:rsidRPr="006A612F">
        <w:rPr>
          <w:szCs w:val="17"/>
        </w:rPr>
        <w:t>04</w:t>
      </w:r>
      <w:r w:rsidRPr="006A612F">
        <w:rPr>
          <w:szCs w:val="17"/>
        </w:rPr>
        <w:t>‌/</w:t>
      </w:r>
      <w:r w:rsidR="00315997" w:rsidRPr="006A612F">
        <w:rPr>
          <w:szCs w:val="17"/>
        </w:rPr>
        <w:t>08</w:t>
      </w:r>
      <w:r w:rsidRPr="006A612F">
        <w:rPr>
          <w:szCs w:val="17"/>
        </w:rPr>
        <w:t>‌/</w:t>
      </w:r>
      <w:r w:rsidR="00315997" w:rsidRPr="006A612F">
        <w:rPr>
          <w:szCs w:val="17"/>
        </w:rPr>
        <w:t>us</w:t>
      </w:r>
      <w:r w:rsidRPr="006A612F">
        <w:rPr>
          <w:szCs w:val="17"/>
        </w:rPr>
        <w:t>‌/</w:t>
      </w:r>
      <w:r w:rsidR="00315997" w:rsidRPr="006A612F">
        <w:rPr>
          <w:szCs w:val="17"/>
        </w:rPr>
        <w:t>south-carolina-officer-is-charged-with-murder-in-black-mans-death.html [</w:t>
      </w:r>
      <w:r w:rsidRPr="006A612F">
        <w:rPr>
          <w:szCs w:val="17"/>
        </w:rPr>
        <w:t>https://‌</w:t>
      </w:r>
      <w:r w:rsidR="00315997" w:rsidRPr="006A612F">
        <w:rPr>
          <w:szCs w:val="17"/>
        </w:rPr>
        <w:t>perma.cc</w:t>
      </w:r>
      <w:r w:rsidRPr="006A612F">
        <w:rPr>
          <w:szCs w:val="17"/>
        </w:rPr>
        <w:t>‌/</w:t>
      </w:r>
      <w:r w:rsidR="00315997" w:rsidRPr="006A612F">
        <w:rPr>
          <w:szCs w:val="17"/>
        </w:rPr>
        <w:t>KF44-PZW6].</w:t>
      </w:r>
    </w:p>
  </w:footnote>
  <w:footnote w:id="71">
    <w:p w14:paraId="477DEF8F" w14:textId="2DF15CE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As defined in a U.S. Department of Justice bulletin, body-worn cameras </w:t>
      </w:r>
      <w:r w:rsidRPr="006A612F">
        <w:rPr>
          <w:szCs w:val="17"/>
        </w:rPr>
        <w:t>“</w:t>
      </w:r>
      <w:r w:rsidR="00315997" w:rsidRPr="006A612F">
        <w:rPr>
          <w:szCs w:val="17"/>
        </w:rPr>
        <w:t>are small, transportable devices worn by officers to record interactions with the public. The cameras can be attached to an officer</w:t>
      </w:r>
      <w:r w:rsidRPr="006A612F">
        <w:rPr>
          <w:szCs w:val="17"/>
        </w:rPr>
        <w:t>’</w:t>
      </w:r>
      <w:r w:rsidR="00315997" w:rsidRPr="006A612F">
        <w:rPr>
          <w:szCs w:val="17"/>
        </w:rPr>
        <w:t>s clothing, sunglasses, or helmet. [Body-worn cameras] can produce video and audio recordings. The footage is saved on a local storage device or uploaded to a web-based storage platform.</w:t>
      </w:r>
      <w:r w:rsidRPr="006A612F">
        <w:rPr>
          <w:szCs w:val="17"/>
        </w:rPr>
        <w:t>”</w:t>
      </w:r>
      <w:r w:rsidR="00315997" w:rsidRPr="006A612F">
        <w:rPr>
          <w:szCs w:val="17"/>
        </w:rPr>
        <w:t xml:space="preserve"> </w:t>
      </w:r>
      <w:r w:rsidR="00315997" w:rsidRPr="006A612F">
        <w:rPr>
          <w:smallCaps/>
          <w:szCs w:val="17"/>
        </w:rPr>
        <w:t>Shelby S. Hyland, U.S. Dep</w:t>
      </w:r>
      <w:r w:rsidRPr="006A612F">
        <w:rPr>
          <w:smallCaps/>
          <w:szCs w:val="17"/>
        </w:rPr>
        <w:t>’</w:t>
      </w:r>
      <w:r w:rsidR="00315997" w:rsidRPr="006A612F">
        <w:rPr>
          <w:smallCaps/>
          <w:szCs w:val="17"/>
        </w:rPr>
        <w:t>t of Just., Body-Worn Cameras in Law Enforcement Agencies</w:t>
      </w:r>
      <w:r w:rsidR="00315997" w:rsidRPr="006A612F">
        <w:rPr>
          <w:szCs w:val="17"/>
        </w:rPr>
        <w:t xml:space="preserve">, 2016, at 2 (2018), </w:t>
      </w:r>
      <w:r w:rsidRPr="006A612F">
        <w:rPr>
          <w:szCs w:val="17"/>
        </w:rPr>
        <w:t>https://‌</w:t>
      </w:r>
      <w:r w:rsidR="00315997" w:rsidRPr="006A612F">
        <w:rPr>
          <w:szCs w:val="17"/>
        </w:rPr>
        <w:t>www.bjs.gov</w:t>
      </w:r>
      <w:r w:rsidRPr="006A612F">
        <w:rPr>
          <w:szCs w:val="17"/>
        </w:rPr>
        <w:t>‌/</w:t>
      </w:r>
      <w:r w:rsidR="00315997" w:rsidRPr="006A612F">
        <w:rPr>
          <w:szCs w:val="17"/>
        </w:rPr>
        <w:t>content</w:t>
      </w:r>
      <w:r w:rsidRPr="006A612F">
        <w:rPr>
          <w:szCs w:val="17"/>
        </w:rPr>
        <w:t>‌/</w:t>
      </w:r>
      <w:r w:rsidR="00315997" w:rsidRPr="006A612F">
        <w:rPr>
          <w:szCs w:val="17"/>
        </w:rPr>
        <w:t>pub</w:t>
      </w:r>
      <w:r w:rsidRPr="006A612F">
        <w:rPr>
          <w:szCs w:val="17"/>
        </w:rPr>
        <w:t>‌/</w:t>
      </w:r>
      <w:r w:rsidR="00315997" w:rsidRPr="006A612F">
        <w:rPr>
          <w:szCs w:val="17"/>
        </w:rPr>
        <w:t>pdf</w:t>
      </w:r>
      <w:r w:rsidRPr="006A612F">
        <w:rPr>
          <w:szCs w:val="17"/>
        </w:rPr>
        <w:t>‌/</w:t>
      </w:r>
      <w:r w:rsidR="00315997" w:rsidRPr="006A612F">
        <w:rPr>
          <w:szCs w:val="17"/>
        </w:rPr>
        <w:t>bwclea16.pdf [</w:t>
      </w:r>
      <w:r w:rsidRPr="006A612F">
        <w:rPr>
          <w:szCs w:val="17"/>
        </w:rPr>
        <w:t>https://‌</w:t>
      </w:r>
      <w:r w:rsidR="00315997" w:rsidRPr="006A612F">
        <w:rPr>
          <w:szCs w:val="17"/>
        </w:rPr>
        <w:t>perma.cc</w:t>
      </w:r>
      <w:r w:rsidRPr="006A612F">
        <w:rPr>
          <w:szCs w:val="17"/>
        </w:rPr>
        <w:t>‌/</w:t>
      </w:r>
      <w:r w:rsidR="00315997" w:rsidRPr="006A612F">
        <w:rPr>
          <w:szCs w:val="17"/>
        </w:rPr>
        <w:t xml:space="preserve">44VB-C97Z]. For a discussion of the potential advantages and limitations of body-worn cameras, see generally Seth W. Stoughton, </w:t>
      </w:r>
      <w:r w:rsidR="00315997" w:rsidRPr="006A612F">
        <w:rPr>
          <w:i/>
          <w:szCs w:val="17"/>
        </w:rPr>
        <w:t>Police Body-Worn Cameras</w:t>
      </w:r>
      <w:r w:rsidR="00315997" w:rsidRPr="006A612F">
        <w:rPr>
          <w:szCs w:val="17"/>
        </w:rPr>
        <w:t xml:space="preserve">, 96 </w:t>
      </w:r>
      <w:r w:rsidR="00315997" w:rsidRPr="006A612F">
        <w:rPr>
          <w:smallCaps/>
          <w:szCs w:val="17"/>
        </w:rPr>
        <w:t>N.C.</w:t>
      </w:r>
      <w:r w:rsidR="000609FA" w:rsidRPr="006A612F">
        <w:rPr>
          <w:smallCaps/>
          <w:szCs w:val="17"/>
        </w:rPr>
        <w:t xml:space="preserve"> </w:t>
      </w:r>
      <w:r w:rsidR="00315997" w:rsidRPr="006A612F">
        <w:rPr>
          <w:smallCaps/>
          <w:szCs w:val="17"/>
        </w:rPr>
        <w:t>L. Rev.</w:t>
      </w:r>
      <w:r w:rsidR="00315997" w:rsidRPr="006A612F">
        <w:rPr>
          <w:szCs w:val="17"/>
        </w:rPr>
        <w:t xml:space="preserve"> 1363 (2018).</w:t>
      </w:r>
    </w:p>
  </w:footnote>
  <w:footnote w:id="72">
    <w:p w14:paraId="455C25E1" w14:textId="730AA3A0"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Hyland</w:t>
      </w:r>
      <w:r w:rsidR="00315997" w:rsidRPr="006A612F">
        <w:rPr>
          <w:szCs w:val="17"/>
        </w:rPr>
        <w:t xml:space="preserve">, </w:t>
      </w:r>
      <w:r w:rsidR="00315997" w:rsidRPr="006A612F">
        <w:rPr>
          <w:i/>
          <w:iCs/>
          <w:szCs w:val="17"/>
        </w:rPr>
        <w:t>supra</w:t>
      </w:r>
      <w:r w:rsidR="00315997" w:rsidRPr="006A612F">
        <w:rPr>
          <w:szCs w:val="17"/>
        </w:rPr>
        <w:t xml:space="preserve"> note </w:t>
      </w:r>
      <w:r w:rsidR="00315997" w:rsidRPr="006A612F">
        <w:rPr>
          <w:szCs w:val="17"/>
        </w:rPr>
        <w:fldChar w:fldCharType="begin"/>
      </w:r>
      <w:r w:rsidR="00315997" w:rsidRPr="006A612F">
        <w:rPr>
          <w:szCs w:val="17"/>
        </w:rPr>
        <w:instrText xml:space="preserve"> NOTEREF _Ref87796261 \h  \* MERGEFORMAT </w:instrText>
      </w:r>
      <w:r w:rsidR="00315997" w:rsidRPr="006A612F">
        <w:rPr>
          <w:szCs w:val="17"/>
        </w:rPr>
      </w:r>
      <w:r w:rsidR="00315997" w:rsidRPr="006A612F">
        <w:rPr>
          <w:szCs w:val="17"/>
        </w:rPr>
        <w:fldChar w:fldCharType="separate"/>
      </w:r>
      <w:r w:rsidR="00AA6ED0" w:rsidRPr="006A612F">
        <w:rPr>
          <w:szCs w:val="17"/>
        </w:rPr>
        <w:t>69</w:t>
      </w:r>
      <w:r w:rsidR="00315997" w:rsidRPr="006A612F">
        <w:rPr>
          <w:szCs w:val="17"/>
        </w:rPr>
        <w:fldChar w:fldCharType="end"/>
      </w:r>
      <w:r w:rsidR="00315997" w:rsidRPr="006A612F">
        <w:rPr>
          <w:szCs w:val="17"/>
        </w:rPr>
        <w:t>, at 1.</w:t>
      </w:r>
    </w:p>
  </w:footnote>
  <w:footnote w:id="73">
    <w:p w14:paraId="7B25F5E9" w14:textId="43ED447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2.</w:t>
      </w:r>
    </w:p>
  </w:footnote>
  <w:footnote w:id="74">
    <w:p w14:paraId="7A57EF4A" w14:textId="7BB11BB6"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75">
    <w:p w14:paraId="1A83EFA2" w14:textId="06CD18A8"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Eliott C. McLaughlin, </w:t>
      </w:r>
      <w:r w:rsidR="00315997" w:rsidRPr="006A612F">
        <w:rPr>
          <w:i/>
          <w:szCs w:val="17"/>
        </w:rPr>
        <w:t>Chicago Officer Had History of Complaints Before Laquan McDonald Shooting</w:t>
      </w:r>
      <w:r w:rsidR="00315997" w:rsidRPr="006A612F">
        <w:rPr>
          <w:szCs w:val="17"/>
        </w:rPr>
        <w:t xml:space="preserve">, CNN (Nov. 26, 2015, 5:45 PM), </w:t>
      </w:r>
      <w:r w:rsidRPr="006A612F">
        <w:t>http://‌</w:t>
      </w:r>
      <w:r w:rsidR="00315997" w:rsidRPr="006A612F">
        <w:t>www.cnn.com</w:t>
      </w:r>
      <w:r w:rsidRPr="006A612F">
        <w:t>‌/</w:t>
      </w:r>
      <w:r w:rsidR="00315997" w:rsidRPr="006A612F">
        <w:t>2015</w:t>
      </w:r>
      <w:r w:rsidRPr="006A612F">
        <w:t>‌/</w:t>
      </w:r>
      <w:r w:rsidR="00315997" w:rsidRPr="006A612F">
        <w:t>11</w:t>
      </w:r>
      <w:r w:rsidRPr="006A612F">
        <w:t>‌/</w:t>
      </w:r>
      <w:r w:rsidR="00315997" w:rsidRPr="006A612F">
        <w:t>25</w:t>
      </w:r>
      <w:r w:rsidRPr="006A612F">
        <w:t>‌/</w:t>
      </w:r>
      <w:r w:rsidR="00315997" w:rsidRPr="006A612F">
        <w:t>us</w:t>
      </w:r>
      <w:r w:rsidRPr="006A612F">
        <w:t>‌/</w:t>
      </w:r>
      <w:r w:rsidR="00315997" w:rsidRPr="006A612F">
        <w:t>jason-van-dyke-previous-complaints-lawsuits</w:t>
      </w:r>
      <w:r w:rsidRPr="006A612F">
        <w:t>‌/</w:t>
      </w:r>
      <w:r w:rsidR="00315997" w:rsidRPr="006A612F">
        <w:t>index.html [</w:t>
      </w:r>
      <w:r w:rsidRPr="006A612F">
        <w:t>https://‌</w:t>
      </w:r>
      <w:r w:rsidR="00315997" w:rsidRPr="006A612F">
        <w:t>perma.cc</w:t>
      </w:r>
      <w:r w:rsidRPr="006A612F">
        <w:t>‌/</w:t>
      </w:r>
      <w:r w:rsidR="00315997" w:rsidRPr="006A612F">
        <w:t>U6SJ-3HVT]</w:t>
      </w:r>
      <w:r w:rsidR="00315997" w:rsidRPr="006A612F">
        <w:rPr>
          <w:szCs w:val="17"/>
        </w:rPr>
        <w:t>.</w:t>
      </w:r>
    </w:p>
  </w:footnote>
  <w:footnote w:id="76">
    <w:p w14:paraId="528CD62B" w14:textId="54B26CF5"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Tristan Montaque, </w:t>
      </w:r>
      <w:r w:rsidR="00315997" w:rsidRPr="006A612F">
        <w:rPr>
          <w:i/>
          <w:szCs w:val="17"/>
        </w:rPr>
        <w:t>Policing the Police: Analyzing the Legal Implications of the Sequestration of Cellphone Video Footage</w:t>
      </w:r>
      <w:r w:rsidR="00315997" w:rsidRPr="006A612F">
        <w:rPr>
          <w:szCs w:val="17"/>
        </w:rPr>
        <w:t xml:space="preserve">, 22 J. </w:t>
      </w:r>
      <w:r w:rsidR="00315997" w:rsidRPr="006A612F">
        <w:rPr>
          <w:smallCaps/>
          <w:szCs w:val="17"/>
        </w:rPr>
        <w:t>Tech. L. &amp; Pol</w:t>
      </w:r>
      <w:r w:rsidRPr="006A612F">
        <w:rPr>
          <w:smallCaps/>
          <w:szCs w:val="17"/>
        </w:rPr>
        <w:t>’</w:t>
      </w:r>
      <w:r w:rsidR="00315997" w:rsidRPr="006A612F">
        <w:rPr>
          <w:smallCaps/>
          <w:szCs w:val="17"/>
        </w:rPr>
        <w:t>y</w:t>
      </w:r>
      <w:r w:rsidR="00315997" w:rsidRPr="006A612F">
        <w:rPr>
          <w:szCs w:val="17"/>
        </w:rPr>
        <w:t xml:space="preserve"> 1, 11 (2018).</w:t>
      </w:r>
    </w:p>
  </w:footnote>
  <w:footnote w:id="77">
    <w:p w14:paraId="000111EE" w14:textId="7A34254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Mark Berman,</w:t>
      </w:r>
      <w:r w:rsidR="00315997" w:rsidRPr="006A612F">
        <w:rPr>
          <w:i/>
          <w:iCs/>
          <w:szCs w:val="17"/>
        </w:rPr>
        <w:t xml:space="preserve"> Why Did Authorities Say Laquan McDonald Lunged at Chicago Police Officers?</w:t>
      </w:r>
      <w:r w:rsidR="00315997" w:rsidRPr="006A612F">
        <w:rPr>
          <w:szCs w:val="17"/>
        </w:rPr>
        <w:t xml:space="preserve">, </w:t>
      </w:r>
      <w:r w:rsidR="00315997" w:rsidRPr="006A612F">
        <w:rPr>
          <w:smallCaps/>
          <w:szCs w:val="17"/>
        </w:rPr>
        <w:t>Wash. Post</w:t>
      </w:r>
      <w:r w:rsidR="00315997" w:rsidRPr="006A612F">
        <w:rPr>
          <w:szCs w:val="17"/>
        </w:rPr>
        <w:t xml:space="preserve"> (Nov. 25, 2015), </w:t>
      </w:r>
      <w:hyperlink r:id="rId1" w:history="1">
        <w:r w:rsidRPr="006A612F">
          <w:rPr>
            <w:szCs w:val="17"/>
          </w:rPr>
          <w:t>https://‌</w:t>
        </w:r>
        <w:r w:rsidR="00315997" w:rsidRPr="006A612F">
          <w:rPr>
            <w:szCs w:val="17"/>
          </w:rPr>
          <w:t>www.washingtonpost.com</w:t>
        </w:r>
        <w:r w:rsidRPr="006A612F">
          <w:rPr>
            <w:szCs w:val="17"/>
          </w:rPr>
          <w:t>‌/</w:t>
        </w:r>
        <w:r w:rsidR="00315997" w:rsidRPr="006A612F">
          <w:rPr>
            <w:szCs w:val="17"/>
          </w:rPr>
          <w:t>news</w:t>
        </w:r>
        <w:r w:rsidRPr="006A612F">
          <w:rPr>
            <w:szCs w:val="17"/>
          </w:rPr>
          <w:t>‌/</w:t>
        </w:r>
        <w:r w:rsidR="00315997" w:rsidRPr="006A612F">
          <w:rPr>
            <w:szCs w:val="17"/>
          </w:rPr>
          <w:t>post-nation</w:t>
        </w:r>
        <w:r w:rsidRPr="006A612F">
          <w:rPr>
            <w:szCs w:val="17"/>
          </w:rPr>
          <w:t>‌/</w:t>
        </w:r>
        <w:r w:rsidR="00315997" w:rsidRPr="006A612F">
          <w:rPr>
            <w:szCs w:val="17"/>
          </w:rPr>
          <w:t>wp</w:t>
        </w:r>
        <w:r w:rsidRPr="006A612F">
          <w:rPr>
            <w:szCs w:val="17"/>
          </w:rPr>
          <w:t>‌/</w:t>
        </w:r>
        <w:r w:rsidR="00315997" w:rsidRPr="006A612F">
          <w:rPr>
            <w:szCs w:val="17"/>
          </w:rPr>
          <w:t>2015</w:t>
        </w:r>
        <w:r w:rsidRPr="006A612F">
          <w:rPr>
            <w:szCs w:val="17"/>
          </w:rPr>
          <w:t>‌/</w:t>
        </w:r>
        <w:r w:rsidR="00315997" w:rsidRPr="006A612F">
          <w:rPr>
            <w:szCs w:val="17"/>
          </w:rPr>
          <w:t>11</w:t>
        </w:r>
        <w:r w:rsidRPr="006A612F">
          <w:rPr>
            <w:szCs w:val="17"/>
          </w:rPr>
          <w:t>‌/</w:t>
        </w:r>
        <w:r w:rsidR="00315997" w:rsidRPr="006A612F">
          <w:rPr>
            <w:szCs w:val="17"/>
          </w:rPr>
          <w:t>25</w:t>
        </w:r>
        <w:r w:rsidRPr="006A612F">
          <w:rPr>
            <w:szCs w:val="17"/>
          </w:rPr>
          <w:t>‌/</w:t>
        </w:r>
        <w:r w:rsidR="00315997" w:rsidRPr="006A612F">
          <w:rPr>
            <w:szCs w:val="17"/>
          </w:rPr>
          <w:t>why-did-authorities-say-laquan-mcdonald-lunged-at-chicago-police-officers</w:t>
        </w:r>
        <w:r w:rsidRPr="006A612F">
          <w:rPr>
            <w:szCs w:val="17"/>
          </w:rPr>
          <w:t>‌/</w:t>
        </w:r>
        <w:r w:rsidR="00315997" w:rsidRPr="006A612F">
          <w:rPr>
            <w:szCs w:val="17"/>
          </w:rPr>
          <w:t xml:space="preserve"> [</w:t>
        </w:r>
        <w:r w:rsidRPr="006A612F">
          <w:rPr>
            <w:szCs w:val="17"/>
          </w:rPr>
          <w:t>https://‌</w:t>
        </w:r>
        <w:r w:rsidR="00315997" w:rsidRPr="006A612F">
          <w:rPr>
            <w:szCs w:val="17"/>
          </w:rPr>
          <w:t>perma.cc</w:t>
        </w:r>
        <w:r w:rsidRPr="006A612F">
          <w:rPr>
            <w:szCs w:val="17"/>
          </w:rPr>
          <w:t>‌/</w:t>
        </w:r>
        <w:r w:rsidR="00315997" w:rsidRPr="006A612F">
          <w:rPr>
            <w:szCs w:val="17"/>
          </w:rPr>
          <w:t>GZ95-E822]</w:t>
        </w:r>
      </w:hyperlink>
      <w:r w:rsidR="00315997" w:rsidRPr="006A612F">
        <w:rPr>
          <w:szCs w:val="17"/>
        </w:rPr>
        <w:t xml:space="preserve"> (quoting statement released by the CPD).</w:t>
      </w:r>
    </w:p>
  </w:footnote>
  <w:footnote w:id="78">
    <w:p w14:paraId="441996ED" w14:textId="41C06CE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Annie Sweeney, Jeremy Gorner &amp; Dan Hinkel, </w:t>
      </w:r>
      <w:r w:rsidR="00315997" w:rsidRPr="006A612F">
        <w:rPr>
          <w:i/>
          <w:szCs w:val="17"/>
        </w:rPr>
        <w:t>Top Cop Seeks to Fire 7 Officers for Lying About Laquan McDonald Shooting</w:t>
      </w:r>
      <w:r w:rsidR="00315997" w:rsidRPr="006A612F">
        <w:rPr>
          <w:szCs w:val="17"/>
        </w:rPr>
        <w:t xml:space="preserve">, </w:t>
      </w:r>
      <w:r w:rsidR="00315997" w:rsidRPr="006A612F">
        <w:rPr>
          <w:smallCaps/>
          <w:szCs w:val="17"/>
        </w:rPr>
        <w:t>Chi. Trib.</w:t>
      </w:r>
      <w:r w:rsidR="00315997" w:rsidRPr="006A612F">
        <w:rPr>
          <w:szCs w:val="17"/>
        </w:rPr>
        <w:t xml:space="preserve"> (Aug. 18, 2016), </w:t>
      </w:r>
      <w:r w:rsidRPr="006A612F">
        <w:rPr>
          <w:szCs w:val="17"/>
        </w:rPr>
        <w:t>http://‌</w:t>
      </w:r>
      <w:r w:rsidR="00315997" w:rsidRPr="006A612F">
        <w:rPr>
          <w:szCs w:val="17"/>
        </w:rPr>
        <w:t>www.chicagotribune.com</w:t>
      </w:r>
      <w:r w:rsidRPr="006A612F">
        <w:rPr>
          <w:szCs w:val="17"/>
        </w:rPr>
        <w:t>‌/</w:t>
      </w:r>
      <w:r w:rsidR="00315997" w:rsidRPr="006A612F">
        <w:rPr>
          <w:szCs w:val="17"/>
        </w:rPr>
        <w:t>news</w:t>
      </w:r>
      <w:r w:rsidRPr="006A612F">
        <w:rPr>
          <w:szCs w:val="17"/>
        </w:rPr>
        <w:t>‌/</w:t>
      </w:r>
      <w:r w:rsidR="00315997" w:rsidRPr="006A612F">
        <w:rPr>
          <w:szCs w:val="17"/>
        </w:rPr>
        <w:t>laquanmcdonald</w:t>
      </w:r>
      <w:r w:rsidRPr="006A612F">
        <w:rPr>
          <w:szCs w:val="17"/>
        </w:rPr>
        <w:t>‌/</w:t>
      </w:r>
      <w:r w:rsidR="00315997" w:rsidRPr="006A612F">
        <w:rPr>
          <w:szCs w:val="17"/>
        </w:rPr>
        <w:t>ct-laquan-mcdonald-police-punished-met-20160818-story.html [</w:t>
      </w:r>
      <w:r w:rsidRPr="006A612F">
        <w:rPr>
          <w:szCs w:val="17"/>
        </w:rPr>
        <w:t>https://‌</w:t>
      </w:r>
      <w:r w:rsidR="00315997" w:rsidRPr="006A612F">
        <w:rPr>
          <w:szCs w:val="17"/>
        </w:rPr>
        <w:t>perma.cc</w:t>
      </w:r>
      <w:r w:rsidRPr="006A612F">
        <w:rPr>
          <w:szCs w:val="17"/>
        </w:rPr>
        <w:t>‌/</w:t>
      </w:r>
      <w:r w:rsidR="00315997" w:rsidRPr="006A612F">
        <w:rPr>
          <w:szCs w:val="17"/>
        </w:rPr>
        <w:t>E6YC-MMQM].</w:t>
      </w:r>
    </w:p>
  </w:footnote>
  <w:footnote w:id="79">
    <w:p w14:paraId="24BFD62C" w14:textId="6A585F9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McLaughlan,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_Ref87797402 \h  \* MERGEFORMAT </w:instrText>
      </w:r>
      <w:r w:rsidR="00315997" w:rsidRPr="006A612F">
        <w:rPr>
          <w:szCs w:val="17"/>
        </w:rPr>
      </w:r>
      <w:r w:rsidR="00315997" w:rsidRPr="006A612F">
        <w:rPr>
          <w:szCs w:val="17"/>
        </w:rPr>
        <w:fldChar w:fldCharType="separate"/>
      </w:r>
      <w:r w:rsidR="00AA6ED0" w:rsidRPr="006A612F">
        <w:rPr>
          <w:szCs w:val="17"/>
        </w:rPr>
        <w:t>73</w:t>
      </w:r>
      <w:r w:rsidR="00315997" w:rsidRPr="006A612F">
        <w:rPr>
          <w:szCs w:val="17"/>
        </w:rPr>
        <w:fldChar w:fldCharType="end"/>
      </w:r>
      <w:r w:rsidR="00315997" w:rsidRPr="006A612F">
        <w:rPr>
          <w:szCs w:val="17"/>
        </w:rPr>
        <w:t xml:space="preserve">. </w:t>
      </w:r>
      <w:r w:rsidR="00315997" w:rsidRPr="006A612F">
        <w:rPr>
          <w:i/>
          <w:iCs/>
          <w:szCs w:val="17"/>
        </w:rPr>
        <w:t xml:space="preserve">See also </w:t>
      </w:r>
      <w:r w:rsidR="00315997" w:rsidRPr="006A612F">
        <w:rPr>
          <w:szCs w:val="17"/>
        </w:rPr>
        <w:t xml:space="preserve">Locke E. Bowman, </w:t>
      </w:r>
      <w:r w:rsidR="00315997" w:rsidRPr="006A612F">
        <w:rPr>
          <w:i/>
          <w:szCs w:val="17"/>
        </w:rPr>
        <w:t>Delays in Laquan McDonald Case Foster Despair in</w:t>
      </w:r>
      <w:r w:rsidR="00315997" w:rsidRPr="006A612F">
        <w:rPr>
          <w:szCs w:val="17"/>
        </w:rPr>
        <w:t xml:space="preserve"> </w:t>
      </w:r>
      <w:r w:rsidR="00315997" w:rsidRPr="006A612F">
        <w:rPr>
          <w:i/>
          <w:szCs w:val="17"/>
        </w:rPr>
        <w:t>Chicago</w:t>
      </w:r>
      <w:r w:rsidR="00315997" w:rsidRPr="006A612F">
        <w:rPr>
          <w:szCs w:val="17"/>
        </w:rPr>
        <w:t xml:space="preserve">, </w:t>
      </w:r>
      <w:r w:rsidR="00315997" w:rsidRPr="006A612F">
        <w:rPr>
          <w:smallCaps/>
          <w:szCs w:val="17"/>
        </w:rPr>
        <w:t>Chi. Trib.</w:t>
      </w:r>
      <w:r w:rsidR="00315997" w:rsidRPr="006A612F">
        <w:rPr>
          <w:szCs w:val="17"/>
        </w:rPr>
        <w:t xml:space="preserve"> (July 15, 2016), </w:t>
      </w:r>
      <w:r w:rsidRPr="006A612F">
        <w:rPr>
          <w:szCs w:val="17"/>
        </w:rPr>
        <w:t>https://‌</w:t>
      </w:r>
      <w:r w:rsidR="00315997" w:rsidRPr="006A612F">
        <w:rPr>
          <w:szCs w:val="17"/>
        </w:rPr>
        <w:t>www.chicagotribune.com</w:t>
      </w:r>
      <w:r w:rsidRPr="006A612F">
        <w:rPr>
          <w:szCs w:val="17"/>
        </w:rPr>
        <w:t>‌/</w:t>
      </w:r>
      <w:r w:rsidR="00315997" w:rsidRPr="006A612F">
        <w:rPr>
          <w:szCs w:val="17"/>
        </w:rPr>
        <w:t>opinion</w:t>
      </w:r>
      <w:r w:rsidRPr="006A612F">
        <w:rPr>
          <w:szCs w:val="17"/>
        </w:rPr>
        <w:t>‌/</w:t>
      </w:r>
      <w:r w:rsidR="00315997" w:rsidRPr="006A612F">
        <w:rPr>
          <w:szCs w:val="17"/>
        </w:rPr>
        <w:t>commentary</w:t>
      </w:r>
      <w:r w:rsidRPr="006A612F">
        <w:rPr>
          <w:szCs w:val="17"/>
        </w:rPr>
        <w:t>‌/</w:t>
      </w:r>
      <w:r w:rsidR="00315997" w:rsidRPr="006A612F">
        <w:rPr>
          <w:szCs w:val="17"/>
        </w:rPr>
        <w:t>ct-laquan-mcdonald-prosecutor-van-dyke-perspec-0718-md-20160715-story.html [</w:t>
      </w:r>
      <w:r w:rsidRPr="006A612F">
        <w:rPr>
          <w:szCs w:val="17"/>
        </w:rPr>
        <w:t>https://‌</w:t>
      </w:r>
      <w:r w:rsidR="00315997" w:rsidRPr="006A612F">
        <w:rPr>
          <w:szCs w:val="17"/>
        </w:rPr>
        <w:t>perma.cc</w:t>
      </w:r>
      <w:r w:rsidRPr="006A612F">
        <w:rPr>
          <w:szCs w:val="17"/>
        </w:rPr>
        <w:t>‌/</w:t>
      </w:r>
      <w:r w:rsidR="00315997" w:rsidRPr="006A612F">
        <w:rPr>
          <w:szCs w:val="17"/>
        </w:rPr>
        <w:t>T6MX-8FSD] (discussing the delay in releasing the video).</w:t>
      </w:r>
    </w:p>
  </w:footnote>
  <w:footnote w:id="80">
    <w:p w14:paraId="6E880FAD" w14:textId="3B71EA2C"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Kori Rumore &amp; Chad Yoder, </w:t>
      </w:r>
      <w:r w:rsidR="00315997" w:rsidRPr="006A612F">
        <w:rPr>
          <w:i/>
          <w:iCs/>
          <w:szCs w:val="17"/>
        </w:rPr>
        <w:t>Minute by Minute: How Jason Van Dyke Shot Laquan McDonald</w:t>
      </w:r>
      <w:r w:rsidR="00315997" w:rsidRPr="006A612F">
        <w:rPr>
          <w:szCs w:val="17"/>
        </w:rPr>
        <w:t xml:space="preserve">, </w:t>
      </w:r>
      <w:r w:rsidR="00315997" w:rsidRPr="006A612F">
        <w:rPr>
          <w:smallCaps/>
          <w:szCs w:val="17"/>
        </w:rPr>
        <w:t>Chi. Trib.</w:t>
      </w:r>
      <w:r w:rsidR="00315997" w:rsidRPr="006A612F">
        <w:rPr>
          <w:szCs w:val="17"/>
        </w:rPr>
        <w:t xml:space="preserve"> (Jan. 18, 2019, 7:32 PM), </w:t>
      </w:r>
      <w:r w:rsidRPr="006A612F">
        <w:rPr>
          <w:szCs w:val="17"/>
        </w:rPr>
        <w:t>https://‌</w:t>
      </w:r>
      <w:r w:rsidR="00315997" w:rsidRPr="006A612F">
        <w:rPr>
          <w:szCs w:val="17"/>
        </w:rPr>
        <w:t>www.chicagotribune.com</w:t>
      </w:r>
      <w:r w:rsidRPr="006A612F">
        <w:rPr>
          <w:szCs w:val="17"/>
        </w:rPr>
        <w:t>‌/</w:t>
      </w:r>
      <w:r w:rsidR="00315997" w:rsidRPr="006A612F">
        <w:rPr>
          <w:szCs w:val="17"/>
        </w:rPr>
        <w:t>news</w:t>
      </w:r>
      <w:r w:rsidRPr="006A612F">
        <w:rPr>
          <w:szCs w:val="17"/>
        </w:rPr>
        <w:t>‌/</w:t>
      </w:r>
      <w:r w:rsidR="00315997" w:rsidRPr="006A612F">
        <w:rPr>
          <w:szCs w:val="17"/>
        </w:rPr>
        <w:t>laquan-mcdonald</w:t>
      </w:r>
      <w:r w:rsidRPr="006A612F">
        <w:rPr>
          <w:szCs w:val="17"/>
        </w:rPr>
        <w:t>‌/</w:t>
      </w:r>
      <w:r w:rsidR="00315997" w:rsidRPr="006A612F">
        <w:rPr>
          <w:szCs w:val="17"/>
        </w:rPr>
        <w:t>ct-jason-vandyke-laquan-mcdonald-timeline-htmlstory.html [</w:t>
      </w:r>
      <w:r w:rsidRPr="006A612F">
        <w:rPr>
          <w:szCs w:val="17"/>
        </w:rPr>
        <w:t>https://‌</w:t>
      </w:r>
      <w:r w:rsidR="00315997" w:rsidRPr="006A612F">
        <w:rPr>
          <w:szCs w:val="17"/>
        </w:rPr>
        <w:t>perma.cc</w:t>
      </w:r>
      <w:r w:rsidRPr="006A612F">
        <w:rPr>
          <w:szCs w:val="17"/>
        </w:rPr>
        <w:t>‌/</w:t>
      </w:r>
      <w:r w:rsidR="00315997" w:rsidRPr="006A612F">
        <w:rPr>
          <w:szCs w:val="17"/>
        </w:rPr>
        <w:t>H25M-T4YA].</w:t>
      </w:r>
    </w:p>
  </w:footnote>
  <w:footnote w:id="81">
    <w:p w14:paraId="74CE5ACD" w14:textId="7A2A0C2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Jeffrey Robinson, </w:t>
      </w:r>
      <w:r w:rsidR="00315997" w:rsidRPr="006A612F">
        <w:rPr>
          <w:i/>
          <w:iCs/>
          <w:szCs w:val="17"/>
        </w:rPr>
        <w:t>Judges Prove Laquan McDonald</w:t>
      </w:r>
      <w:r w:rsidRPr="006A612F">
        <w:rPr>
          <w:i/>
          <w:iCs/>
          <w:szCs w:val="17"/>
        </w:rPr>
        <w:t>’</w:t>
      </w:r>
      <w:r w:rsidR="00315997" w:rsidRPr="006A612F">
        <w:rPr>
          <w:i/>
          <w:iCs/>
          <w:szCs w:val="17"/>
        </w:rPr>
        <w:t>s Life Didn</w:t>
      </w:r>
      <w:r w:rsidRPr="006A612F">
        <w:rPr>
          <w:i/>
          <w:iCs/>
          <w:szCs w:val="17"/>
        </w:rPr>
        <w:t>’</w:t>
      </w:r>
      <w:r w:rsidR="00315997" w:rsidRPr="006A612F">
        <w:rPr>
          <w:i/>
          <w:iCs/>
          <w:szCs w:val="17"/>
        </w:rPr>
        <w:t>t Matter Very Much to the System</w:t>
      </w:r>
      <w:r w:rsidR="00315997" w:rsidRPr="006A612F">
        <w:rPr>
          <w:szCs w:val="17"/>
        </w:rPr>
        <w:t xml:space="preserve">, ACLU (Jan. 23, 2019, 5:15 PM), </w:t>
      </w:r>
      <w:r w:rsidRPr="006A612F">
        <w:rPr>
          <w:szCs w:val="17"/>
        </w:rPr>
        <w:t>https://‌</w:t>
      </w:r>
      <w:r w:rsidR="00315997" w:rsidRPr="006A612F">
        <w:rPr>
          <w:szCs w:val="17"/>
        </w:rPr>
        <w:t>www.aclu.org</w:t>
      </w:r>
      <w:r w:rsidRPr="006A612F">
        <w:rPr>
          <w:szCs w:val="17"/>
        </w:rPr>
        <w:t>‌/</w:t>
      </w:r>
      <w:r w:rsidR="00315997" w:rsidRPr="006A612F">
        <w:rPr>
          <w:szCs w:val="17"/>
        </w:rPr>
        <w:t>blog</w:t>
      </w:r>
      <w:r w:rsidRPr="006A612F">
        <w:rPr>
          <w:szCs w:val="17"/>
        </w:rPr>
        <w:t>‌/</w:t>
      </w:r>
      <w:r w:rsidR="00315997" w:rsidRPr="006A612F">
        <w:rPr>
          <w:szCs w:val="17"/>
        </w:rPr>
        <w:t>criminal-law-reform</w:t>
      </w:r>
      <w:r w:rsidRPr="006A612F">
        <w:rPr>
          <w:szCs w:val="17"/>
        </w:rPr>
        <w:t>‌/</w:t>
      </w:r>
      <w:r w:rsidR="00315997" w:rsidRPr="006A612F">
        <w:rPr>
          <w:szCs w:val="17"/>
        </w:rPr>
        <w:t>reforming-police</w:t>
      </w:r>
      <w:r w:rsidRPr="006A612F">
        <w:rPr>
          <w:szCs w:val="17"/>
        </w:rPr>
        <w:t>‌/</w:t>
      </w:r>
      <w:r w:rsidR="00315997" w:rsidRPr="006A612F">
        <w:rPr>
          <w:szCs w:val="17"/>
        </w:rPr>
        <w:t>judges-prove-laquan-mcdonalds-life-didnt-matter-very-much [</w:t>
      </w:r>
      <w:r w:rsidRPr="006A612F">
        <w:rPr>
          <w:szCs w:val="17"/>
        </w:rPr>
        <w:t>https://‌</w:t>
      </w:r>
      <w:r w:rsidR="00315997" w:rsidRPr="006A612F">
        <w:rPr>
          <w:szCs w:val="17"/>
        </w:rPr>
        <w:t>perma.cc</w:t>
      </w:r>
      <w:r w:rsidRPr="006A612F">
        <w:rPr>
          <w:szCs w:val="17"/>
        </w:rPr>
        <w:t>‌/</w:t>
      </w:r>
      <w:r w:rsidR="00315997" w:rsidRPr="006A612F">
        <w:rPr>
          <w:szCs w:val="17"/>
        </w:rPr>
        <w:t xml:space="preserve">4648-HF7Z]. No officers were convicted for conspiring and lying about what originally occurred. The police officers Joseph Walsh, Thomas Gaffney, and Detective David March were charged with obstruction of justice, official misconduct, and conspiracy for lying in statements and police reports to protect Van Dyke, but they were found not guilty by a judge in a trial without a jury. </w:t>
      </w:r>
      <w:r w:rsidR="00315997" w:rsidRPr="0024777B">
        <w:rPr>
          <w:i/>
          <w:szCs w:val="17"/>
        </w:rPr>
        <w:t>Id.</w:t>
      </w:r>
    </w:p>
  </w:footnote>
  <w:footnote w:id="82">
    <w:p w14:paraId="2B7E6D86" w14:textId="5B57F4A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Monica Davey, </w:t>
      </w:r>
      <w:r w:rsidR="00315997" w:rsidRPr="006A612F">
        <w:rPr>
          <w:i/>
          <w:szCs w:val="17"/>
        </w:rPr>
        <w:t>Chicago Pays $5 Million to Family of Black Teenager Killed by Officer</w:t>
      </w:r>
      <w:r w:rsidR="00315997" w:rsidRPr="006A612F">
        <w:rPr>
          <w:szCs w:val="17"/>
        </w:rPr>
        <w:t xml:space="preserve">, </w:t>
      </w:r>
      <w:r w:rsidR="00315997" w:rsidRPr="006A612F">
        <w:rPr>
          <w:smallCaps/>
          <w:szCs w:val="17"/>
        </w:rPr>
        <w:t>N.Y. Times</w:t>
      </w:r>
      <w:r w:rsidR="00315997" w:rsidRPr="006A612F">
        <w:rPr>
          <w:szCs w:val="17"/>
        </w:rPr>
        <w:t xml:space="preserve"> (Apr. 15, 2015), </w:t>
      </w:r>
      <w:hyperlink r:id="rId2" w:history="1">
        <w:r w:rsidRPr="006A612F">
          <w:rPr>
            <w:szCs w:val="17"/>
          </w:rPr>
          <w:t>https://‌</w:t>
        </w:r>
        <w:r w:rsidR="00315997" w:rsidRPr="006A612F">
          <w:rPr>
            <w:szCs w:val="17"/>
          </w:rPr>
          <w:t>www.nytimes.com</w:t>
        </w:r>
        <w:r w:rsidRPr="006A612F">
          <w:rPr>
            <w:szCs w:val="17"/>
          </w:rPr>
          <w:t>‌/</w:t>
        </w:r>
        <w:r w:rsidR="00315997" w:rsidRPr="006A612F">
          <w:rPr>
            <w:szCs w:val="17"/>
          </w:rPr>
          <w:t>2015</w:t>
        </w:r>
        <w:r w:rsidRPr="006A612F">
          <w:rPr>
            <w:szCs w:val="17"/>
          </w:rPr>
          <w:t>‌/</w:t>
        </w:r>
        <w:r w:rsidR="00315997" w:rsidRPr="006A612F">
          <w:rPr>
            <w:szCs w:val="17"/>
          </w:rPr>
          <w:t>04</w:t>
        </w:r>
        <w:r w:rsidRPr="006A612F">
          <w:rPr>
            <w:szCs w:val="17"/>
          </w:rPr>
          <w:t>‌/</w:t>
        </w:r>
        <w:r w:rsidR="00315997" w:rsidRPr="006A612F">
          <w:rPr>
            <w:szCs w:val="17"/>
          </w:rPr>
          <w:t>16</w:t>
        </w:r>
        <w:r w:rsidRPr="006A612F">
          <w:rPr>
            <w:szCs w:val="17"/>
          </w:rPr>
          <w:t>‌/</w:t>
        </w:r>
        <w:r w:rsidR="00315997" w:rsidRPr="006A612F">
          <w:rPr>
            <w:szCs w:val="17"/>
          </w:rPr>
          <w:t>us</w:t>
        </w:r>
        <w:r w:rsidRPr="006A612F">
          <w:rPr>
            <w:szCs w:val="17"/>
          </w:rPr>
          <w:t>‌/</w:t>
        </w:r>
        <w:r w:rsidR="00315997" w:rsidRPr="006A612F">
          <w:rPr>
            <w:szCs w:val="17"/>
          </w:rPr>
          <w:t>chicago-pays-5-million-to-family-of-black-teenager-killed-by-officer.html [</w:t>
        </w:r>
        <w:r w:rsidRPr="006A612F">
          <w:rPr>
            <w:szCs w:val="17"/>
          </w:rPr>
          <w:t>https://‌</w:t>
        </w:r>
        <w:r w:rsidR="00315997" w:rsidRPr="006A612F">
          <w:rPr>
            <w:szCs w:val="17"/>
          </w:rPr>
          <w:t>perma.cc</w:t>
        </w:r>
        <w:r w:rsidRPr="006A612F">
          <w:rPr>
            <w:szCs w:val="17"/>
          </w:rPr>
          <w:t>‌/</w:t>
        </w:r>
        <w:r w:rsidR="00315997" w:rsidRPr="006A612F">
          <w:rPr>
            <w:szCs w:val="17"/>
          </w:rPr>
          <w:t>82PE-G5LM]</w:t>
        </w:r>
      </w:hyperlink>
      <w:r w:rsidR="00315997" w:rsidRPr="006A612F">
        <w:rPr>
          <w:szCs w:val="17"/>
        </w:rPr>
        <w:t>.</w:t>
      </w:r>
    </w:p>
  </w:footnote>
  <w:footnote w:id="83">
    <w:p w14:paraId="2C3C7BAE" w14:textId="26BD1ADD" w:rsidR="00315997" w:rsidRPr="006A612F" w:rsidRDefault="00BF278E" w:rsidP="00AA6ED0">
      <w:pPr>
        <w:pStyle w:val="FootNote"/>
        <w:spacing w:line="240" w:lineRule="auto"/>
        <w:rPr>
          <w:iCs/>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 xml:space="preserve">Iesha S. Nunes, </w:t>
      </w:r>
      <w:r w:rsidRPr="006A612F">
        <w:rPr>
          <w:i/>
          <w:szCs w:val="17"/>
        </w:rPr>
        <w:t>“</w:t>
      </w:r>
      <w:r w:rsidR="00315997" w:rsidRPr="006A612F">
        <w:rPr>
          <w:i/>
          <w:szCs w:val="17"/>
        </w:rPr>
        <w:t>Hands Up, Don</w:t>
      </w:r>
      <w:r w:rsidRPr="006A612F">
        <w:rPr>
          <w:i/>
          <w:szCs w:val="17"/>
        </w:rPr>
        <w:t>’</w:t>
      </w:r>
      <w:r w:rsidR="00315997" w:rsidRPr="006A612F">
        <w:rPr>
          <w:i/>
          <w:szCs w:val="17"/>
        </w:rPr>
        <w:t>t Shoot</w:t>
      </w:r>
      <w:r w:rsidRPr="006A612F">
        <w:rPr>
          <w:i/>
          <w:szCs w:val="17"/>
        </w:rPr>
        <w:t>”</w:t>
      </w:r>
      <w:r w:rsidR="00315997" w:rsidRPr="006A612F">
        <w:rPr>
          <w:i/>
          <w:szCs w:val="17"/>
        </w:rPr>
        <w:t>: Police Misconduct and the Need for Body Cameras</w:t>
      </w:r>
      <w:r w:rsidR="00315997" w:rsidRPr="006A612F">
        <w:rPr>
          <w:szCs w:val="17"/>
        </w:rPr>
        <w:t xml:space="preserve">, 67 </w:t>
      </w:r>
      <w:r w:rsidR="00315997" w:rsidRPr="006A612F">
        <w:rPr>
          <w:smallCaps/>
          <w:szCs w:val="17"/>
        </w:rPr>
        <w:t>Fla. L. Rev</w:t>
      </w:r>
      <w:r w:rsidR="00315997" w:rsidRPr="006A612F">
        <w:rPr>
          <w:szCs w:val="17"/>
        </w:rPr>
        <w:t>. 1811, 1833 (2015) (</w:t>
      </w:r>
      <w:r w:rsidRPr="006A612F">
        <w:rPr>
          <w:szCs w:val="17"/>
        </w:rPr>
        <w:t>“</w:t>
      </w:r>
      <w:r w:rsidR="00315997" w:rsidRPr="006A612F">
        <w:rPr>
          <w:szCs w:val="17"/>
        </w:rPr>
        <w:t xml:space="preserve">[O]fficers that </w:t>
      </w:r>
      <w:r w:rsidR="00315997" w:rsidRPr="006A612F">
        <w:rPr>
          <w:i/>
          <w:iCs/>
          <w:szCs w:val="17"/>
        </w:rPr>
        <w:t xml:space="preserve">did </w:t>
      </w:r>
      <w:r w:rsidR="00315997" w:rsidRPr="006A612F">
        <w:rPr>
          <w:szCs w:val="17"/>
        </w:rPr>
        <w:t xml:space="preserve">use force were twice as likely to have gone </w:t>
      </w:r>
      <w:r w:rsidR="00315997" w:rsidRPr="006A612F">
        <w:rPr>
          <w:i/>
          <w:iCs/>
          <w:szCs w:val="17"/>
        </w:rPr>
        <w:t>without</w:t>
      </w:r>
      <w:r w:rsidR="00315997" w:rsidRPr="006A612F">
        <w:rPr>
          <w:szCs w:val="17"/>
        </w:rPr>
        <w:t xml:space="preserve"> body cameras during that shift.</w:t>
      </w:r>
      <w:r w:rsidRPr="006A612F">
        <w:rPr>
          <w:szCs w:val="17"/>
        </w:rPr>
        <w:t>”</w:t>
      </w:r>
      <w:r w:rsidR="00315997" w:rsidRPr="006A612F">
        <w:rPr>
          <w:szCs w:val="17"/>
        </w:rPr>
        <w:t>). Body-worn cameras suffer from practical limitations. An officer</w:t>
      </w:r>
      <w:r w:rsidRPr="006A612F">
        <w:rPr>
          <w:szCs w:val="17"/>
        </w:rPr>
        <w:t>’</w:t>
      </w:r>
      <w:r w:rsidR="00315997" w:rsidRPr="006A612F">
        <w:rPr>
          <w:szCs w:val="17"/>
        </w:rPr>
        <w:t xml:space="preserve">s arm may get in the way, or a drop of rain could land on the lens. Furthermore, cameras have a limited field of view, which is narrower than the human eye. Since the camera is attached to the body the footage does not reflect everything an officer sees when they turn their head. Stoughton, </w:t>
      </w:r>
      <w:r w:rsidR="00315997" w:rsidRPr="006A612F">
        <w:rPr>
          <w:i/>
          <w:szCs w:val="17"/>
        </w:rPr>
        <w:t xml:space="preserve">supra </w:t>
      </w:r>
      <w:r w:rsidR="00315997" w:rsidRPr="006A612F">
        <w:rPr>
          <w:iCs/>
          <w:szCs w:val="17"/>
        </w:rPr>
        <w:t xml:space="preserve">note </w:t>
      </w:r>
      <w:r w:rsidR="00315997" w:rsidRPr="006A612F">
        <w:rPr>
          <w:iCs/>
          <w:szCs w:val="17"/>
        </w:rPr>
        <w:fldChar w:fldCharType="begin"/>
      </w:r>
      <w:r w:rsidR="00315997" w:rsidRPr="006A612F">
        <w:rPr>
          <w:iCs/>
          <w:szCs w:val="17"/>
        </w:rPr>
        <w:instrText xml:space="preserve"> NOTEREF _Ref87796261 \h  \* MERGEFORMAT </w:instrText>
      </w:r>
      <w:r w:rsidR="00315997" w:rsidRPr="006A612F">
        <w:rPr>
          <w:iCs/>
          <w:szCs w:val="17"/>
        </w:rPr>
      </w:r>
      <w:r w:rsidR="00315997" w:rsidRPr="006A612F">
        <w:rPr>
          <w:iCs/>
          <w:szCs w:val="17"/>
        </w:rPr>
        <w:fldChar w:fldCharType="separate"/>
      </w:r>
      <w:r w:rsidR="00AA6ED0" w:rsidRPr="006A612F">
        <w:rPr>
          <w:iCs/>
          <w:szCs w:val="17"/>
        </w:rPr>
        <w:t>69</w:t>
      </w:r>
      <w:r w:rsidR="00315997" w:rsidRPr="006A612F">
        <w:rPr>
          <w:iCs/>
          <w:szCs w:val="17"/>
        </w:rPr>
        <w:fldChar w:fldCharType="end"/>
      </w:r>
      <w:r w:rsidR="00315997" w:rsidRPr="006A612F">
        <w:rPr>
          <w:iCs/>
          <w:szCs w:val="17"/>
        </w:rPr>
        <w:t>, at 1402–03.</w:t>
      </w:r>
    </w:p>
  </w:footnote>
  <w:footnote w:id="84">
    <w:p w14:paraId="27619F6C" w14:textId="73AE8F8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Depositions are used to gather relevant information, nail down the deponent</w:t>
      </w:r>
      <w:r w:rsidRPr="006A612F">
        <w:rPr>
          <w:szCs w:val="17"/>
        </w:rPr>
        <w:t>’</w:t>
      </w:r>
      <w:r w:rsidR="00315997" w:rsidRPr="006A612F">
        <w:rPr>
          <w:szCs w:val="17"/>
        </w:rPr>
        <w:t xml:space="preserve">s testimony on particular issues, and obtain favorable testimony for later use in the case. </w:t>
      </w:r>
      <w:r w:rsidR="00315997" w:rsidRPr="006A612F">
        <w:rPr>
          <w:i/>
          <w:szCs w:val="17"/>
        </w:rPr>
        <w:t xml:space="preserve">See </w:t>
      </w:r>
      <w:r w:rsidR="00315997" w:rsidRPr="006A612F">
        <w:rPr>
          <w:smallCaps/>
          <w:szCs w:val="17"/>
        </w:rPr>
        <w:t xml:space="preserve">David M. Malone &amp; Peter T. Hoffman, The Effective Deposition: </w:t>
      </w:r>
      <w:r w:rsidR="0091191F" w:rsidRPr="006A612F">
        <w:rPr>
          <w:smallCaps/>
          <w:szCs w:val="17"/>
        </w:rPr>
        <w:t>Techniques</w:t>
      </w:r>
      <w:r w:rsidR="00315997" w:rsidRPr="006A612F">
        <w:rPr>
          <w:smallCaps/>
          <w:szCs w:val="17"/>
        </w:rPr>
        <w:t xml:space="preserve"> and Strategies That Work</w:t>
      </w:r>
      <w:r w:rsidR="00315997" w:rsidRPr="006A612F">
        <w:rPr>
          <w:szCs w:val="17"/>
        </w:rPr>
        <w:t xml:space="preserve"> 27 (2d ed. 1996) (</w:t>
      </w:r>
      <w:r w:rsidRPr="006A612F">
        <w:rPr>
          <w:szCs w:val="17"/>
        </w:rPr>
        <w:t>“</w:t>
      </w:r>
      <w:r w:rsidR="00315997" w:rsidRPr="006A612F">
        <w:rPr>
          <w:szCs w:val="17"/>
        </w:rPr>
        <w:t xml:space="preserve">Depositions are the most powerful discovery device available to a litigator </w:t>
      </w:r>
      <w:r w:rsidRPr="006A612F">
        <w:rPr>
          <w:szCs w:val="17"/>
        </w:rPr>
        <w:t>. . . .”</w:t>
      </w:r>
      <w:r w:rsidR="00315997" w:rsidRPr="006A612F">
        <w:rPr>
          <w:szCs w:val="17"/>
        </w:rPr>
        <w:t>); Hall v. Clifton Precision, 150 F.R.D. 525, 531 (E.D. Pa. 1993) (</w:t>
      </w:r>
      <w:r w:rsidRPr="006A612F">
        <w:rPr>
          <w:szCs w:val="17"/>
        </w:rPr>
        <w:t>“</w:t>
      </w:r>
      <w:r w:rsidR="00315997" w:rsidRPr="006A612F">
        <w:rPr>
          <w:szCs w:val="17"/>
        </w:rPr>
        <w:t>Depositions are the factual battleground where the vast majority of litigation actually takes place.</w:t>
      </w:r>
      <w:r w:rsidRPr="006A612F">
        <w:rPr>
          <w:szCs w:val="17"/>
        </w:rPr>
        <w:t>”</w:t>
      </w:r>
      <w:r w:rsidR="00315997" w:rsidRPr="006A612F">
        <w:rPr>
          <w:szCs w:val="17"/>
        </w:rPr>
        <w:t xml:space="preserve">); </w:t>
      </w:r>
      <w:r w:rsidR="00315997" w:rsidRPr="006A612F">
        <w:rPr>
          <w:i/>
          <w:iCs/>
          <w:szCs w:val="17"/>
        </w:rPr>
        <w:t xml:space="preserve">see also </w:t>
      </w:r>
      <w:r w:rsidR="00315997" w:rsidRPr="006A612F">
        <w:rPr>
          <w:szCs w:val="17"/>
        </w:rPr>
        <w:t>7 James Wm. Moore, Moore</w:t>
      </w:r>
      <w:r w:rsidRPr="006A612F">
        <w:rPr>
          <w:szCs w:val="17"/>
        </w:rPr>
        <w:t>’</w:t>
      </w:r>
      <w:r w:rsidR="00315997" w:rsidRPr="006A612F">
        <w:rPr>
          <w:szCs w:val="17"/>
        </w:rPr>
        <w:t>s Federal Practice ¶ 30.02[2], at 30-13 (3d ed. 1997) (</w:t>
      </w:r>
      <w:r w:rsidRPr="006A612F">
        <w:rPr>
          <w:szCs w:val="17"/>
        </w:rPr>
        <w:t>“</w:t>
      </w:r>
      <w:r w:rsidR="00315997" w:rsidRPr="006A612F">
        <w:rPr>
          <w:szCs w:val="17"/>
        </w:rPr>
        <w:t>The importance of depositions to modern civil litigation was well (if perhaps cynically) captured by [the Hall] court.</w:t>
      </w:r>
      <w:r w:rsidRPr="006A612F">
        <w:rPr>
          <w:szCs w:val="17"/>
        </w:rPr>
        <w:t>”</w:t>
      </w:r>
      <w:r w:rsidR="00315997" w:rsidRPr="006A612F">
        <w:rPr>
          <w:szCs w:val="17"/>
        </w:rPr>
        <w:t xml:space="preserve">). Attorneys usually delay depositions until they have received interrogatory responses and completed the document production process. 4 </w:t>
      </w:r>
      <w:r w:rsidR="00315997" w:rsidRPr="006A612F">
        <w:rPr>
          <w:smallCaps/>
          <w:szCs w:val="17"/>
        </w:rPr>
        <w:t>Am. Jur</w:t>
      </w:r>
      <w:r w:rsidR="00315997" w:rsidRPr="006A612F">
        <w:rPr>
          <w:szCs w:val="17"/>
        </w:rPr>
        <w:t xml:space="preserve">. </w:t>
      </w:r>
      <w:r w:rsidR="00315997" w:rsidRPr="006A612F">
        <w:rPr>
          <w:i/>
          <w:szCs w:val="17"/>
        </w:rPr>
        <w:t>Trials</w:t>
      </w:r>
      <w:r w:rsidR="00315997" w:rsidRPr="006A612F">
        <w:rPr>
          <w:szCs w:val="17"/>
        </w:rPr>
        <w:t xml:space="preserve"> § 3 (1966).</w:t>
      </w:r>
    </w:p>
  </w:footnote>
  <w:footnote w:id="85">
    <w:p w14:paraId="672DCA93" w14:textId="18D4457C"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The deponent is questioned under oath and usually will have their lawyer present. </w:t>
      </w:r>
      <w:r w:rsidR="00315997" w:rsidRPr="006A612F">
        <w:rPr>
          <w:smallCaps/>
          <w:szCs w:val="17"/>
        </w:rPr>
        <w:t>Fed. R. Civ. P. 30(</w:t>
      </w:r>
      <w:r w:rsidR="00315997" w:rsidRPr="006A612F">
        <w:rPr>
          <w:szCs w:val="17"/>
        </w:rPr>
        <w:t>b)(</w:t>
      </w:r>
      <w:r w:rsidR="00315997" w:rsidRPr="006A612F">
        <w:rPr>
          <w:smallCaps/>
          <w:szCs w:val="17"/>
        </w:rPr>
        <w:t>5)</w:t>
      </w:r>
      <w:r w:rsidR="00315997" w:rsidRPr="006A612F">
        <w:rPr>
          <w:szCs w:val="17"/>
        </w:rPr>
        <w:t>. This conversation is recorded by the court and is used at the trial if the case goes to trial. During a deposition, it can become apparent if the officers were coached into their answers.</w:t>
      </w:r>
    </w:p>
  </w:footnote>
  <w:footnote w:id="86">
    <w:p w14:paraId="62C14929" w14:textId="6900D53D"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Gabriel J. Chin &amp; Scott C. Wells, </w:t>
      </w:r>
      <w:r w:rsidR="00315997" w:rsidRPr="006A612F">
        <w:rPr>
          <w:i/>
          <w:iCs/>
          <w:szCs w:val="17"/>
        </w:rPr>
        <w:t xml:space="preserve">The </w:t>
      </w:r>
      <w:r w:rsidRPr="006A612F">
        <w:rPr>
          <w:i/>
          <w:iCs/>
          <w:szCs w:val="17"/>
        </w:rPr>
        <w:t>“</w:t>
      </w:r>
      <w:r w:rsidR="00315997" w:rsidRPr="006A612F">
        <w:rPr>
          <w:i/>
          <w:iCs/>
          <w:szCs w:val="17"/>
        </w:rPr>
        <w:t>Blue Wall of Silence</w:t>
      </w:r>
      <w:r w:rsidRPr="006A612F">
        <w:rPr>
          <w:i/>
          <w:iCs/>
          <w:szCs w:val="17"/>
        </w:rPr>
        <w:t>”</w:t>
      </w:r>
      <w:r w:rsidR="00315997" w:rsidRPr="006A612F">
        <w:rPr>
          <w:i/>
          <w:iCs/>
          <w:szCs w:val="17"/>
        </w:rPr>
        <w:t xml:space="preserve"> as Evidence of Bias and Motive to Lie: A New Approach to Police Perjury</w:t>
      </w:r>
      <w:r w:rsidR="00315997" w:rsidRPr="006A612F">
        <w:rPr>
          <w:szCs w:val="17"/>
        </w:rPr>
        <w:t xml:space="preserve">, 59 </w:t>
      </w:r>
      <w:r w:rsidR="00315997" w:rsidRPr="006A612F">
        <w:rPr>
          <w:smallCaps/>
          <w:szCs w:val="17"/>
        </w:rPr>
        <w:t>U. Pitt. L. Rev.</w:t>
      </w:r>
      <w:r w:rsidR="00315997" w:rsidRPr="006A612F">
        <w:rPr>
          <w:szCs w:val="17"/>
        </w:rPr>
        <w:t xml:space="preserve"> 233, 237 (1998).</w:t>
      </w:r>
    </w:p>
  </w:footnote>
  <w:footnote w:id="87">
    <w:p w14:paraId="2C2088FB" w14:textId="4CA63095"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Philip Hayden, </w:t>
      </w:r>
      <w:r w:rsidR="00315997" w:rsidRPr="006A612F">
        <w:rPr>
          <w:i/>
          <w:iCs/>
          <w:szCs w:val="17"/>
        </w:rPr>
        <w:t>Why an Ex-FBI Agent Decided to Break Through the Blue Wall of Silence</w:t>
      </w:r>
      <w:r w:rsidR="00315997" w:rsidRPr="006A612F">
        <w:rPr>
          <w:szCs w:val="17"/>
        </w:rPr>
        <w:t xml:space="preserve">, </w:t>
      </w:r>
      <w:r w:rsidR="00315997" w:rsidRPr="006A612F">
        <w:rPr>
          <w:smallCaps/>
          <w:szCs w:val="17"/>
        </w:rPr>
        <w:t>USA Today</w:t>
      </w:r>
      <w:r w:rsidR="00315997" w:rsidRPr="006A612F">
        <w:rPr>
          <w:szCs w:val="17"/>
        </w:rPr>
        <w:t xml:space="preserve"> (Jan. 31, 2019, 12:28 PM), </w:t>
      </w:r>
      <w:r w:rsidRPr="006A612F">
        <w:rPr>
          <w:szCs w:val="17"/>
        </w:rPr>
        <w:t>https://‌</w:t>
      </w:r>
      <w:r w:rsidR="00315997" w:rsidRPr="006A612F">
        <w:rPr>
          <w:szCs w:val="17"/>
        </w:rPr>
        <w:t>www.usatoday.com</w:t>
      </w:r>
      <w:r w:rsidRPr="006A612F">
        <w:rPr>
          <w:szCs w:val="17"/>
        </w:rPr>
        <w:t>‌/</w:t>
      </w:r>
      <w:r w:rsidR="00315997" w:rsidRPr="006A612F">
        <w:rPr>
          <w:szCs w:val="17"/>
        </w:rPr>
        <w:t>story</w:t>
      </w:r>
      <w:r w:rsidRPr="006A612F">
        <w:rPr>
          <w:szCs w:val="17"/>
        </w:rPr>
        <w:t>‌/</w:t>
      </w:r>
      <w:r w:rsidR="00315997" w:rsidRPr="006A612F">
        <w:rPr>
          <w:szCs w:val="17"/>
        </w:rPr>
        <w:t>opinion</w:t>
      </w:r>
      <w:r w:rsidRPr="006A612F">
        <w:rPr>
          <w:szCs w:val="17"/>
        </w:rPr>
        <w:t>‌/</w:t>
      </w:r>
      <w:r w:rsidR="00315997" w:rsidRPr="006A612F">
        <w:rPr>
          <w:szCs w:val="17"/>
        </w:rPr>
        <w:t>policing</w:t>
      </w:r>
      <w:r w:rsidRPr="006A612F">
        <w:rPr>
          <w:szCs w:val="17"/>
        </w:rPr>
        <w:t>‌/</w:t>
      </w:r>
      <w:r w:rsidR="00315997" w:rsidRPr="006A612F">
        <w:rPr>
          <w:szCs w:val="17"/>
        </w:rPr>
        <w:t>2019</w:t>
      </w:r>
      <w:r w:rsidRPr="006A612F">
        <w:rPr>
          <w:szCs w:val="17"/>
        </w:rPr>
        <w:t>‌/</w:t>
      </w:r>
      <w:r w:rsidR="00315997" w:rsidRPr="006A612F">
        <w:rPr>
          <w:szCs w:val="17"/>
        </w:rPr>
        <w:br/>
        <w:t>01</w:t>
      </w:r>
      <w:r w:rsidRPr="006A612F">
        <w:rPr>
          <w:szCs w:val="17"/>
        </w:rPr>
        <w:t>‌/</w:t>
      </w:r>
      <w:r w:rsidR="00315997" w:rsidRPr="006A612F">
        <w:rPr>
          <w:szCs w:val="17"/>
        </w:rPr>
        <w:t>31</w:t>
      </w:r>
      <w:r w:rsidRPr="006A612F">
        <w:rPr>
          <w:szCs w:val="17"/>
        </w:rPr>
        <w:t>‌/</w:t>
      </w:r>
      <w:r w:rsidR="00315997" w:rsidRPr="006A612F">
        <w:rPr>
          <w:szCs w:val="17"/>
        </w:rPr>
        <w:t>blue-wall-of-silence-policing-the-usa-cops-community</w:t>
      </w:r>
      <w:r w:rsidRPr="006A612F">
        <w:rPr>
          <w:szCs w:val="17"/>
        </w:rPr>
        <w:t>‌/</w:t>
      </w:r>
      <w:r w:rsidR="00315997" w:rsidRPr="006A612F">
        <w:rPr>
          <w:szCs w:val="17"/>
        </w:rPr>
        <w:t>2604929002</w:t>
      </w:r>
      <w:r w:rsidRPr="006A612F">
        <w:rPr>
          <w:szCs w:val="17"/>
        </w:rPr>
        <w:t>‌/</w:t>
      </w:r>
      <w:r w:rsidR="00315997" w:rsidRPr="006A612F">
        <w:rPr>
          <w:szCs w:val="17"/>
        </w:rPr>
        <w:t xml:space="preserve"> [</w:t>
      </w:r>
      <w:r w:rsidRPr="006A612F">
        <w:rPr>
          <w:szCs w:val="17"/>
        </w:rPr>
        <w:t>https://‌</w:t>
      </w:r>
      <w:r w:rsidR="00315997" w:rsidRPr="006A612F">
        <w:rPr>
          <w:szCs w:val="17"/>
        </w:rPr>
        <w:t>perma.cc</w:t>
      </w:r>
      <w:r w:rsidRPr="006A612F">
        <w:rPr>
          <w:szCs w:val="17"/>
        </w:rPr>
        <w:t>‌/</w:t>
      </w:r>
      <w:r w:rsidR="00315997" w:rsidRPr="006A612F">
        <w:rPr>
          <w:szCs w:val="17"/>
        </w:rPr>
        <w:t>JHX8-M2MV].</w:t>
      </w:r>
    </w:p>
  </w:footnote>
  <w:footnote w:id="88">
    <w:p w14:paraId="7733CBEA" w14:textId="37773F5F" w:rsidR="00315997" w:rsidRPr="006A612F" w:rsidRDefault="00BF278E" w:rsidP="00AA6ED0">
      <w:pPr>
        <w:pStyle w:val="FootNote"/>
        <w:spacing w:line="240" w:lineRule="auto"/>
        <w:rPr>
          <w:szCs w:val="17"/>
        </w:rPr>
      </w:pPr>
      <w:r w:rsidRPr="006A612F">
        <w:rPr>
          <w:iCs/>
          <w:szCs w:val="17"/>
        </w:rPr>
        <w:fldChar w:fldCharType="begin"/>
      </w:r>
      <w:r w:rsidRPr="006A612F">
        <w:rPr>
          <w:iCs/>
          <w:szCs w:val="17"/>
        </w:rPr>
        <w:instrText xml:space="preserve"> ADVANCE \r12 \* MERGEFORMAT </w:instrText>
      </w:r>
      <w:r w:rsidRPr="006A612F">
        <w:rPr>
          <w:iCs/>
          <w:szCs w:val="17"/>
        </w:rPr>
        <w:fldChar w:fldCharType="end"/>
      </w:r>
      <w:r w:rsidR="00315997" w:rsidRPr="00732F34">
        <w:rPr>
          <w:rStyle w:val="NoterefInNote"/>
        </w:rPr>
        <w:footnoteRef/>
      </w:r>
      <w:r w:rsidRPr="00732F34">
        <w:rPr>
          <w:szCs w:val="17"/>
        </w:rPr>
        <w:t>.</w:t>
      </w:r>
      <w:r w:rsidRPr="006A612F">
        <w:rPr>
          <w:iCs/>
          <w:szCs w:val="17"/>
        </w:rPr>
        <w:fldChar w:fldCharType="begin"/>
      </w:r>
      <w:r w:rsidRPr="006A612F">
        <w:rPr>
          <w:iCs/>
          <w:szCs w:val="17"/>
        </w:rPr>
        <w:instrText xml:space="preserve"> ADVANCE \r4 \* MERGEFORMAT </w:instrText>
      </w:r>
      <w:r w:rsidRPr="006A612F">
        <w:rPr>
          <w:iCs/>
          <w:szCs w:val="17"/>
        </w:rPr>
        <w:fldChar w:fldCharType="end"/>
      </w:r>
      <w:r w:rsidR="00315997" w:rsidRPr="006A612F">
        <w:rPr>
          <w:iCs/>
          <w:szCs w:val="17"/>
        </w:rPr>
        <w:t xml:space="preserve">Chin &amp; Wells, </w:t>
      </w:r>
      <w:r w:rsidR="00315997" w:rsidRPr="006A612F">
        <w:rPr>
          <w:i/>
          <w:szCs w:val="17"/>
        </w:rPr>
        <w:t xml:space="preserve">supra </w:t>
      </w:r>
      <w:r w:rsidR="00315997" w:rsidRPr="006A612F">
        <w:rPr>
          <w:iCs/>
          <w:szCs w:val="17"/>
        </w:rPr>
        <w:t xml:space="preserve">note </w:t>
      </w:r>
      <w:r w:rsidR="00315997" w:rsidRPr="006A612F">
        <w:rPr>
          <w:iCs/>
          <w:szCs w:val="17"/>
        </w:rPr>
        <w:fldChar w:fldCharType="begin"/>
      </w:r>
      <w:r w:rsidR="00315997" w:rsidRPr="006A612F">
        <w:rPr>
          <w:iCs/>
          <w:szCs w:val="17"/>
        </w:rPr>
        <w:instrText xml:space="preserve"> NOTEREF _Ref87803151 \h  \* MERGEFORMAT </w:instrText>
      </w:r>
      <w:r w:rsidR="00315997" w:rsidRPr="006A612F">
        <w:rPr>
          <w:iCs/>
          <w:szCs w:val="17"/>
        </w:rPr>
      </w:r>
      <w:r w:rsidR="00315997" w:rsidRPr="006A612F">
        <w:rPr>
          <w:iCs/>
          <w:szCs w:val="17"/>
        </w:rPr>
        <w:fldChar w:fldCharType="separate"/>
      </w:r>
      <w:r w:rsidR="00AA6ED0" w:rsidRPr="006A612F">
        <w:rPr>
          <w:iCs/>
          <w:szCs w:val="17"/>
        </w:rPr>
        <w:t>84</w:t>
      </w:r>
      <w:r w:rsidR="00315997" w:rsidRPr="006A612F">
        <w:rPr>
          <w:iCs/>
          <w:szCs w:val="17"/>
        </w:rPr>
        <w:fldChar w:fldCharType="end"/>
      </w:r>
      <w:r w:rsidR="00315997" w:rsidRPr="006A612F">
        <w:rPr>
          <w:iCs/>
          <w:szCs w:val="17"/>
        </w:rPr>
        <w:t>,</w:t>
      </w:r>
      <w:r w:rsidR="00315997" w:rsidRPr="006A612F">
        <w:rPr>
          <w:szCs w:val="17"/>
        </w:rPr>
        <w:t xml:space="preserve"> at 237–40 (</w:t>
      </w:r>
      <w:r w:rsidRPr="006A612F">
        <w:rPr>
          <w:szCs w:val="17"/>
        </w:rPr>
        <w:t>“</w:t>
      </w:r>
      <w:r w:rsidR="00315997" w:rsidRPr="006A612F">
        <w:rPr>
          <w:szCs w:val="17"/>
          <w:shd w:val="clear" w:color="auto" w:fill="FFFFFF"/>
        </w:rPr>
        <w:t>The existence of some form of a police code of silence in many police departments across the nation is well documented in court opinions, scholarly literature,</w:t>
      </w:r>
      <w:r w:rsidR="0091191F" w:rsidRPr="006A612F">
        <w:rPr>
          <w:szCs w:val="17"/>
          <w:shd w:val="clear" w:color="auto" w:fill="FFFFFF"/>
        </w:rPr>
        <w:t xml:space="preserve"> </w:t>
      </w:r>
      <w:r w:rsidR="00315997" w:rsidRPr="006A612F">
        <w:rPr>
          <w:szCs w:val="17"/>
          <w:shd w:val="clear" w:color="auto" w:fill="FFFFFF"/>
        </w:rPr>
        <w:t>news reports,</w:t>
      </w:r>
      <w:r w:rsidR="0091191F" w:rsidRPr="006A612F">
        <w:rPr>
          <w:szCs w:val="17"/>
          <w:shd w:val="clear" w:color="auto" w:fill="FFFFFF"/>
        </w:rPr>
        <w:t xml:space="preserve"> </w:t>
      </w:r>
      <w:r w:rsidR="00315997" w:rsidRPr="006A612F">
        <w:rPr>
          <w:szCs w:val="17"/>
          <w:shd w:val="clear" w:color="auto" w:fill="FFFFFF"/>
        </w:rPr>
        <w:t>and police investigatory commission</w:t>
      </w:r>
      <w:r w:rsidR="0091191F" w:rsidRPr="006A612F">
        <w:rPr>
          <w:szCs w:val="17"/>
          <w:shd w:val="clear" w:color="auto" w:fill="FFFFFF"/>
        </w:rPr>
        <w:t xml:space="preserve"> </w:t>
      </w:r>
      <w:r w:rsidR="00315997" w:rsidRPr="006A612F">
        <w:rPr>
          <w:szCs w:val="17"/>
          <w:shd w:val="clear" w:color="auto" w:fill="FFFFFF"/>
        </w:rPr>
        <w:t>reports examining the subject.</w:t>
      </w:r>
      <w:r w:rsidRPr="006A612F">
        <w:rPr>
          <w:szCs w:val="17"/>
          <w:shd w:val="clear" w:color="auto" w:fill="FFFFFF"/>
        </w:rPr>
        <w:t>”</w:t>
      </w:r>
      <w:r w:rsidR="00315997" w:rsidRPr="006A612F">
        <w:rPr>
          <w:szCs w:val="17"/>
          <w:shd w:val="clear" w:color="auto" w:fill="FFFFFF"/>
        </w:rPr>
        <w:t xml:space="preserve"> (footnotes omitted)).</w:t>
      </w:r>
    </w:p>
  </w:footnote>
  <w:footnote w:id="89">
    <w:p w14:paraId="1922BBD5" w14:textId="51C462BE"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Myriam E. Gilles, </w:t>
      </w:r>
      <w:r w:rsidR="00315997" w:rsidRPr="006A612F">
        <w:rPr>
          <w:i/>
          <w:szCs w:val="17"/>
        </w:rPr>
        <w:t xml:space="preserve">Breaking the Code of Silence: Rediscovering </w:t>
      </w:r>
      <w:r w:rsidRPr="006A612F">
        <w:rPr>
          <w:i/>
          <w:szCs w:val="17"/>
        </w:rPr>
        <w:t>“</w:t>
      </w:r>
      <w:r w:rsidR="00315997" w:rsidRPr="006A612F">
        <w:rPr>
          <w:i/>
          <w:szCs w:val="17"/>
        </w:rPr>
        <w:t>Custom</w:t>
      </w:r>
      <w:r w:rsidRPr="006A612F">
        <w:rPr>
          <w:i/>
          <w:szCs w:val="17"/>
        </w:rPr>
        <w:t>”</w:t>
      </w:r>
      <w:r w:rsidR="00315997" w:rsidRPr="006A612F">
        <w:rPr>
          <w:i/>
          <w:szCs w:val="17"/>
        </w:rPr>
        <w:t xml:space="preserve"> in Section 1983 Municipal Liability</w:t>
      </w:r>
      <w:r w:rsidR="00315997" w:rsidRPr="006A612F">
        <w:rPr>
          <w:szCs w:val="17"/>
        </w:rPr>
        <w:t xml:space="preserve">, 80 </w:t>
      </w:r>
      <w:r w:rsidR="00315997" w:rsidRPr="006A612F">
        <w:rPr>
          <w:smallCaps/>
          <w:szCs w:val="17"/>
        </w:rPr>
        <w:t>B.U. L. Rev.</w:t>
      </w:r>
      <w:r w:rsidR="00315997" w:rsidRPr="006A612F">
        <w:rPr>
          <w:szCs w:val="17"/>
        </w:rPr>
        <w:t xml:space="preserve"> 17, 64 (2000).</w:t>
      </w:r>
    </w:p>
  </w:footnote>
  <w:footnote w:id="90">
    <w:p w14:paraId="015E42E3" w14:textId="57C1CEC0" w:rsidR="00315997" w:rsidRPr="006A612F" w:rsidRDefault="00BF278E" w:rsidP="00AA6ED0">
      <w:pPr>
        <w:pStyle w:val="FootNote"/>
        <w:spacing w:line="240" w:lineRule="auto"/>
        <w:rPr>
          <w:b/>
          <w:bCs/>
          <w:iCs/>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i/>
          <w:szCs w:val="17"/>
        </w:rPr>
        <w:t xml:space="preserve"> </w:t>
      </w:r>
      <w:r w:rsidR="00315997" w:rsidRPr="006A612F">
        <w:rPr>
          <w:iCs/>
          <w:szCs w:val="17"/>
        </w:rPr>
        <w:t>at 65 (footnote omitted).</w:t>
      </w:r>
    </w:p>
  </w:footnote>
  <w:footnote w:id="91">
    <w:p w14:paraId="1838AF65" w14:textId="482D905D" w:rsidR="00315997" w:rsidRPr="006A612F" w:rsidRDefault="00BF278E" w:rsidP="00AA6ED0">
      <w:pPr>
        <w:pStyle w:val="FootNote"/>
        <w:spacing w:line="240" w:lineRule="auto"/>
        <w:rPr>
          <w:b/>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Police perjury, the act of a police officer giving a false testimony, is also known as </w:t>
      </w:r>
      <w:r w:rsidRPr="006A612F">
        <w:rPr>
          <w:szCs w:val="17"/>
        </w:rPr>
        <w:t>“</w:t>
      </w:r>
      <w:r w:rsidR="00315997" w:rsidRPr="006A612F">
        <w:rPr>
          <w:szCs w:val="17"/>
        </w:rPr>
        <w:t>testilying.</w:t>
      </w:r>
      <w:r w:rsidRPr="006A612F">
        <w:rPr>
          <w:szCs w:val="17"/>
        </w:rPr>
        <w:t>”</w:t>
      </w:r>
      <w:r w:rsidR="00315997" w:rsidRPr="006A612F">
        <w:rPr>
          <w:szCs w:val="17"/>
        </w:rPr>
        <w:t xml:space="preserve"> One of the reasons police perjure themselves is to protect fellow officers. Christopher Slobogin, </w:t>
      </w:r>
      <w:r w:rsidR="00315997" w:rsidRPr="006A612F">
        <w:rPr>
          <w:i/>
          <w:szCs w:val="17"/>
        </w:rPr>
        <w:t>Testilying: Police Perjury and What to Do About It</w:t>
      </w:r>
      <w:r w:rsidR="00315997" w:rsidRPr="006A612F">
        <w:rPr>
          <w:szCs w:val="17"/>
        </w:rPr>
        <w:t xml:space="preserve">, 67 </w:t>
      </w:r>
      <w:r w:rsidR="00315997" w:rsidRPr="006A612F">
        <w:rPr>
          <w:smallCaps/>
          <w:szCs w:val="17"/>
        </w:rPr>
        <w:t>U. Colo. L. Rev.</w:t>
      </w:r>
      <w:r w:rsidR="00315997" w:rsidRPr="006A612F">
        <w:rPr>
          <w:szCs w:val="17"/>
        </w:rPr>
        <w:t xml:space="preserve"> 1037, 1040 (1996); </w:t>
      </w:r>
      <w:r w:rsidR="00315997" w:rsidRPr="006A612F">
        <w:rPr>
          <w:i/>
          <w:iCs/>
          <w:szCs w:val="17"/>
        </w:rPr>
        <w:t>see</w:t>
      </w:r>
      <w:r w:rsidR="00315997" w:rsidRPr="006A612F">
        <w:rPr>
          <w:i/>
          <w:szCs w:val="17"/>
        </w:rPr>
        <w:t xml:space="preserve"> also</w:t>
      </w:r>
      <w:r w:rsidR="00315997" w:rsidRPr="006A612F">
        <w:rPr>
          <w:szCs w:val="17"/>
        </w:rPr>
        <w:t xml:space="preserve"> </w:t>
      </w:r>
      <w:r w:rsidR="00315997" w:rsidRPr="006A612F">
        <w:rPr>
          <w:smallCaps/>
          <w:szCs w:val="17"/>
        </w:rPr>
        <w:t>Comm</w:t>
      </w:r>
      <w:r w:rsidRPr="006A612F">
        <w:rPr>
          <w:smallCaps/>
          <w:szCs w:val="17"/>
        </w:rPr>
        <w:t>’</w:t>
      </w:r>
      <w:r w:rsidR="00315997" w:rsidRPr="006A612F">
        <w:rPr>
          <w:smallCaps/>
          <w:szCs w:val="17"/>
        </w:rPr>
        <w:t>n to Investigate Allegations of Police Corruption &amp; Anti-Corruption Procs. of Police Dep</w:t>
      </w:r>
      <w:r w:rsidRPr="006A612F">
        <w:rPr>
          <w:smallCaps/>
          <w:szCs w:val="17"/>
        </w:rPr>
        <w:t>’</w:t>
      </w:r>
      <w:r w:rsidR="00315997" w:rsidRPr="006A612F">
        <w:rPr>
          <w:smallCaps/>
          <w:szCs w:val="17"/>
        </w:rPr>
        <w:t>t, Commission Report</w:t>
      </w:r>
      <w:r w:rsidR="00315997" w:rsidRPr="006A612F">
        <w:rPr>
          <w:szCs w:val="17"/>
        </w:rPr>
        <w:t xml:space="preserve"> 36 (1994)</w:t>
      </w:r>
      <w:r w:rsidR="00315997" w:rsidRPr="006A612F">
        <w:rPr>
          <w:b/>
          <w:bCs/>
          <w:szCs w:val="17"/>
        </w:rPr>
        <w:t xml:space="preserve"> </w:t>
      </w:r>
      <w:r w:rsidR="00315997" w:rsidRPr="006A612F">
        <w:rPr>
          <w:szCs w:val="17"/>
        </w:rPr>
        <w:t xml:space="preserve">[hereinafter </w:t>
      </w:r>
      <w:r w:rsidR="00315997" w:rsidRPr="006A612F">
        <w:rPr>
          <w:smallCaps/>
          <w:szCs w:val="17"/>
        </w:rPr>
        <w:t>Mollen Report</w:t>
      </w:r>
      <w:r w:rsidR="00315997" w:rsidRPr="006A612F">
        <w:rPr>
          <w:szCs w:val="17"/>
        </w:rPr>
        <w:t>] (</w:t>
      </w:r>
      <w:r w:rsidRPr="006A612F">
        <w:rPr>
          <w:szCs w:val="17"/>
        </w:rPr>
        <w:t>“</w:t>
      </w:r>
      <w:r w:rsidR="00315997" w:rsidRPr="006A612F">
        <w:rPr>
          <w:szCs w:val="17"/>
        </w:rPr>
        <w:t xml:space="preserve">[T]he practice of police falsification in connection with such arrests is so common in certain precincts that it has spawned its own word: </w:t>
      </w:r>
      <w:r w:rsidRPr="006A612F">
        <w:rPr>
          <w:szCs w:val="17"/>
        </w:rPr>
        <w:t>‘</w:t>
      </w:r>
      <w:r w:rsidR="00315997" w:rsidRPr="006A612F">
        <w:rPr>
          <w:szCs w:val="17"/>
        </w:rPr>
        <w:t>testilying.</w:t>
      </w:r>
      <w:r w:rsidRPr="006A612F">
        <w:rPr>
          <w:szCs w:val="17"/>
        </w:rPr>
        <w:t>’”</w:t>
      </w:r>
      <w:r w:rsidR="00315997" w:rsidRPr="006A612F">
        <w:rPr>
          <w:szCs w:val="17"/>
        </w:rPr>
        <w:t>).</w:t>
      </w:r>
    </w:p>
  </w:footnote>
  <w:footnote w:id="92">
    <w:p w14:paraId="51AD809F" w14:textId="2FA9B2D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mallCaps/>
          <w:szCs w:val="17"/>
        </w:rPr>
        <w:t>Steve McCartney &amp; Rick Parent, Ethics in Law Enforcement</w:t>
      </w:r>
      <w:r w:rsidR="00315997" w:rsidRPr="006A612F">
        <w:rPr>
          <w:szCs w:val="17"/>
        </w:rPr>
        <w:t xml:space="preserve"> 130 (2015) (noting </w:t>
      </w:r>
      <w:r w:rsidR="00315997" w:rsidRPr="006A612F">
        <w:rPr>
          <w:szCs w:val="17"/>
          <w:shd w:val="clear" w:color="auto" w:fill="FFFFFF"/>
        </w:rPr>
        <w:t xml:space="preserve">that most law enforcement environments are characterized by </w:t>
      </w:r>
      <w:r w:rsidRPr="006A612F">
        <w:rPr>
          <w:szCs w:val="17"/>
          <w:shd w:val="clear" w:color="auto" w:fill="FFFFFF"/>
        </w:rPr>
        <w:t>“</w:t>
      </w:r>
      <w:r w:rsidR="00315997" w:rsidRPr="006A612F">
        <w:rPr>
          <w:szCs w:val="17"/>
          <w:shd w:val="clear" w:color="auto" w:fill="FFFFFF"/>
        </w:rPr>
        <w:t>loyalty and camaraderie: loyalty to other members of the agency, loyalty to the system of rank structure, and loyalty to the values possessed by the agency</w:t>
      </w:r>
      <w:r w:rsidRPr="006A612F">
        <w:rPr>
          <w:szCs w:val="17"/>
          <w:shd w:val="clear" w:color="auto" w:fill="FFFFFF"/>
        </w:rPr>
        <w:t>”</w:t>
      </w:r>
      <w:r w:rsidR="00315997" w:rsidRPr="006A612F">
        <w:rPr>
          <w:szCs w:val="17"/>
          <w:shd w:val="clear" w:color="auto" w:fill="FFFFFF"/>
        </w:rPr>
        <w:t>).</w:t>
      </w:r>
    </w:p>
  </w:footnote>
  <w:footnote w:id="93">
    <w:p w14:paraId="082C2B52" w14:textId="70A74BD6"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w:t>
      </w:r>
      <w:r w:rsidRPr="006A612F">
        <w:rPr>
          <w:szCs w:val="17"/>
        </w:rPr>
        <w:t>“</w:t>
      </w:r>
      <w:r w:rsidR="00315997" w:rsidRPr="006A612F">
        <w:rPr>
          <w:szCs w:val="17"/>
        </w:rPr>
        <w:t>[</w:t>
      </w:r>
      <w:r w:rsidR="00315997" w:rsidRPr="006A612F">
        <w:rPr>
          <w:szCs w:val="17"/>
          <w:shd w:val="clear" w:color="auto" w:fill="FFFFFF"/>
        </w:rPr>
        <w:t>L]aw enforcement personnel work most of their careers in an unsafe environment, in which they have to rely on one another for their safety.</w:t>
      </w:r>
      <w:r w:rsidRPr="006A612F">
        <w:rPr>
          <w:szCs w:val="17"/>
          <w:shd w:val="clear" w:color="auto" w:fill="FFFFFF"/>
        </w:rPr>
        <w:t>”</w:t>
      </w:r>
      <w:r w:rsidR="00315997" w:rsidRPr="006A612F">
        <w:rPr>
          <w:szCs w:val="17"/>
          <w:shd w:val="clear" w:color="auto" w:fill="FFFFFF"/>
        </w:rPr>
        <w:t>).</w:t>
      </w:r>
    </w:p>
  </w:footnote>
  <w:footnote w:id="94">
    <w:p w14:paraId="2186929A" w14:textId="7B4A087A"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95">
    <w:p w14:paraId="42B2DF0F" w14:textId="0C0B195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131 (</w:t>
      </w:r>
      <w:r w:rsidRPr="006A612F">
        <w:rPr>
          <w:szCs w:val="17"/>
        </w:rPr>
        <w:t>“</w:t>
      </w:r>
      <w:r w:rsidR="00315997" w:rsidRPr="006A612F">
        <w:rPr>
          <w:szCs w:val="17"/>
        </w:rPr>
        <w:t xml:space="preserve">The </w:t>
      </w:r>
      <w:r w:rsidR="00315997" w:rsidRPr="006A612F">
        <w:rPr>
          <w:szCs w:val="17"/>
          <w:shd w:val="clear" w:color="auto" w:fill="FFFFFF"/>
        </w:rPr>
        <w:t xml:space="preserve">reporting officer will inevitably have his or her loyalty questioned by other officers in the agency </w:t>
      </w:r>
      <w:r w:rsidRPr="006A612F">
        <w:rPr>
          <w:szCs w:val="17"/>
          <w:shd w:val="clear" w:color="auto" w:fill="FFFFFF"/>
        </w:rPr>
        <w:t>. . . .”</w:t>
      </w:r>
      <w:r w:rsidR="00315997" w:rsidRPr="006A612F">
        <w:rPr>
          <w:szCs w:val="17"/>
          <w:shd w:val="clear" w:color="auto" w:fill="FFFFFF"/>
        </w:rPr>
        <w:t>).</w:t>
      </w:r>
    </w:p>
  </w:footnote>
  <w:footnote w:id="96">
    <w:p w14:paraId="6324165E" w14:textId="74C6EB1D"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When Jason Van Dyke shot Laquan McDonald in 2014, Joseph Walsh, Thomas Gaffney, and Detective David March were some of the officers that covered for him. Nausheen Husain, </w:t>
      </w:r>
      <w:r w:rsidR="00315997" w:rsidRPr="006A612F">
        <w:rPr>
          <w:i/>
          <w:szCs w:val="17"/>
        </w:rPr>
        <w:t>Laquan McDonald Timeline: The Shooting, the Video and the Fallout</w:t>
      </w:r>
      <w:r w:rsidR="00315997" w:rsidRPr="006A612F">
        <w:rPr>
          <w:szCs w:val="17"/>
        </w:rPr>
        <w:t xml:space="preserve">, </w:t>
      </w:r>
      <w:r w:rsidR="00315997" w:rsidRPr="006A612F">
        <w:rPr>
          <w:smallCaps/>
          <w:szCs w:val="17"/>
        </w:rPr>
        <w:t>Chi. Trib.</w:t>
      </w:r>
      <w:r w:rsidR="00315997" w:rsidRPr="006A612F">
        <w:rPr>
          <w:szCs w:val="17"/>
        </w:rPr>
        <w:t xml:space="preserve"> (Jan. 18, 2019, 7:22 PM), </w:t>
      </w:r>
      <w:hyperlink r:id="rId3" w:history="1">
        <w:r w:rsidRPr="006A612F">
          <w:rPr>
            <w:szCs w:val="17"/>
          </w:rPr>
          <w:t>http://‌</w:t>
        </w:r>
        <w:r w:rsidR="00315997" w:rsidRPr="006A612F">
          <w:rPr>
            <w:szCs w:val="17"/>
          </w:rPr>
          <w:t>www.chicagotribune.com</w:t>
        </w:r>
        <w:r w:rsidRPr="006A612F">
          <w:rPr>
            <w:szCs w:val="17"/>
          </w:rPr>
          <w:t>‌/</w:t>
        </w:r>
        <w:r w:rsidR="00315997" w:rsidRPr="006A612F">
          <w:rPr>
            <w:szCs w:val="17"/>
          </w:rPr>
          <w:t>news</w:t>
        </w:r>
        <w:r w:rsidRPr="006A612F">
          <w:rPr>
            <w:szCs w:val="17"/>
          </w:rPr>
          <w:t>‌/</w:t>
        </w:r>
        <w:r w:rsidR="00315997" w:rsidRPr="006A612F">
          <w:rPr>
            <w:szCs w:val="17"/>
          </w:rPr>
          <w:t>laquanmcdonald</w:t>
        </w:r>
        <w:r w:rsidRPr="006A612F">
          <w:rPr>
            <w:szCs w:val="17"/>
          </w:rPr>
          <w:t>‌/</w:t>
        </w:r>
        <w:r w:rsidR="00315997" w:rsidRPr="006A612F">
          <w:rPr>
            <w:szCs w:val="17"/>
          </w:rPr>
          <w:t>ct-graphics-laquan-mcdonald-officers-fired-timeline-htmlstory.html [</w:t>
        </w:r>
        <w:r w:rsidRPr="006A612F">
          <w:rPr>
            <w:szCs w:val="17"/>
          </w:rPr>
          <w:t>https://‌</w:t>
        </w:r>
        <w:r w:rsidR="00315997" w:rsidRPr="006A612F">
          <w:rPr>
            <w:szCs w:val="17"/>
          </w:rPr>
          <w:t>perma.cc</w:t>
        </w:r>
        <w:r w:rsidRPr="006A612F">
          <w:rPr>
            <w:szCs w:val="17"/>
          </w:rPr>
          <w:t>‌/</w:t>
        </w:r>
        <w:r w:rsidR="00315997" w:rsidRPr="006A612F">
          <w:rPr>
            <w:szCs w:val="17"/>
          </w:rPr>
          <w:t>VAB7-USPA]</w:t>
        </w:r>
      </w:hyperlink>
      <w:r w:rsidR="00315997" w:rsidRPr="006A612F">
        <w:rPr>
          <w:szCs w:val="17"/>
        </w:rPr>
        <w:t xml:space="preserve">. They signed off on false reports and provided fabricated accounts of the shooting. </w:t>
      </w:r>
      <w:r w:rsidR="00315997" w:rsidRPr="0024777B">
        <w:rPr>
          <w:i/>
          <w:szCs w:val="17"/>
        </w:rPr>
        <w:t>Id.</w:t>
      </w:r>
    </w:p>
  </w:footnote>
  <w:footnote w:id="97">
    <w:p w14:paraId="7A7AFEC5" w14:textId="60092F4F"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Robin K. Magee, </w:t>
      </w:r>
      <w:r w:rsidR="00315997" w:rsidRPr="006A612F">
        <w:rPr>
          <w:i/>
          <w:iCs/>
          <w:szCs w:val="17"/>
        </w:rPr>
        <w:t>The Myth of the Good Cop and the Inadequacy of Fourth Amendment Remedies for Black Men: Contrasting Presumptions of Innocence and Guilt</w:t>
      </w:r>
      <w:r w:rsidR="00315997" w:rsidRPr="006A612F">
        <w:rPr>
          <w:szCs w:val="17"/>
        </w:rPr>
        <w:t xml:space="preserve">, 23 </w:t>
      </w:r>
      <w:r w:rsidR="00315997" w:rsidRPr="006A612F">
        <w:rPr>
          <w:smallCaps/>
          <w:szCs w:val="17"/>
        </w:rPr>
        <w:t>Cap. U. L. Rev</w:t>
      </w:r>
      <w:r w:rsidR="00315997" w:rsidRPr="006A612F">
        <w:rPr>
          <w:szCs w:val="17"/>
        </w:rPr>
        <w:t xml:space="preserve">. 151, 203–04 (1994) (footnotes omitted) (quoting </w:t>
      </w:r>
      <w:r w:rsidR="00315997" w:rsidRPr="006A612F">
        <w:rPr>
          <w:smallCaps/>
          <w:szCs w:val="17"/>
        </w:rPr>
        <w:t xml:space="preserve">Mollen Report,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_Ref88439592 \h  \* MERGEFORMAT </w:instrText>
      </w:r>
      <w:r w:rsidR="00315997" w:rsidRPr="006A612F">
        <w:rPr>
          <w:szCs w:val="17"/>
        </w:rPr>
      </w:r>
      <w:r w:rsidR="00315997" w:rsidRPr="006A612F">
        <w:rPr>
          <w:szCs w:val="17"/>
        </w:rPr>
        <w:fldChar w:fldCharType="separate"/>
      </w:r>
      <w:r w:rsidR="00AA6ED0" w:rsidRPr="006A612F">
        <w:rPr>
          <w:szCs w:val="17"/>
        </w:rPr>
        <w:t>89</w:t>
      </w:r>
      <w:r w:rsidR="00315997" w:rsidRPr="006A612F">
        <w:rPr>
          <w:szCs w:val="17"/>
        </w:rPr>
        <w:fldChar w:fldCharType="end"/>
      </w:r>
      <w:r w:rsidR="00315997" w:rsidRPr="006A612F">
        <w:rPr>
          <w:szCs w:val="17"/>
        </w:rPr>
        <w:t>, 6 exhibit 6).</w:t>
      </w:r>
    </w:p>
  </w:footnote>
  <w:footnote w:id="98">
    <w:p w14:paraId="20B9AB85" w14:textId="2202B18E" w:rsidR="00315997" w:rsidRPr="006A612F" w:rsidRDefault="00BF278E" w:rsidP="00AA6ED0">
      <w:pPr>
        <w:pStyle w:val="FootNote"/>
        <w:spacing w:line="240" w:lineRule="auto"/>
        <w:rPr>
          <w:b/>
          <w:bCs/>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Indep. Comm</w:t>
      </w:r>
      <w:r w:rsidRPr="006A612F">
        <w:rPr>
          <w:smallCaps/>
          <w:szCs w:val="17"/>
        </w:rPr>
        <w:t>’</w:t>
      </w:r>
      <w:r w:rsidR="00315997" w:rsidRPr="006A612F">
        <w:rPr>
          <w:smallCaps/>
          <w:szCs w:val="17"/>
        </w:rPr>
        <w:t>n on the L.A. Police Dep</w:t>
      </w:r>
      <w:r w:rsidRPr="006A612F">
        <w:rPr>
          <w:smallCaps/>
          <w:szCs w:val="17"/>
        </w:rPr>
        <w:t>’</w:t>
      </w:r>
      <w:r w:rsidR="00315997" w:rsidRPr="006A612F">
        <w:rPr>
          <w:smallCaps/>
          <w:szCs w:val="17"/>
        </w:rPr>
        <w:t>t, Report of the Independent Commission on the Los Angeles Police Department</w:t>
      </w:r>
      <w:r w:rsidR="00315997" w:rsidRPr="006A612F">
        <w:rPr>
          <w:szCs w:val="17"/>
        </w:rPr>
        <w:t xml:space="preserve"> 168 (1991).</w:t>
      </w:r>
    </w:p>
  </w:footnote>
  <w:footnote w:id="99">
    <w:p w14:paraId="406CD92D" w14:textId="785CFBC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Richard Pérez-Peña, </w:t>
      </w:r>
      <w:r w:rsidR="00315997" w:rsidRPr="006A612F">
        <w:rPr>
          <w:i/>
          <w:szCs w:val="17"/>
        </w:rPr>
        <w:t>University of Cincinnati Officer Indicted in Shooting Death of Samuel Dubose</w:t>
      </w:r>
      <w:r w:rsidR="00315997" w:rsidRPr="006A612F">
        <w:rPr>
          <w:szCs w:val="17"/>
        </w:rPr>
        <w:t xml:space="preserve">, N.Y. </w:t>
      </w:r>
      <w:r w:rsidR="00315997" w:rsidRPr="006A612F">
        <w:rPr>
          <w:smallCaps/>
          <w:szCs w:val="17"/>
        </w:rPr>
        <w:t>Times</w:t>
      </w:r>
      <w:r w:rsidR="00315997" w:rsidRPr="006A612F">
        <w:rPr>
          <w:szCs w:val="17"/>
        </w:rPr>
        <w:t xml:space="preserve"> (July 29, 2015), </w:t>
      </w:r>
      <w:r w:rsidRPr="006A612F">
        <w:rPr>
          <w:szCs w:val="17"/>
        </w:rPr>
        <w:t>http://‌</w:t>
      </w:r>
      <w:r w:rsidR="00315997" w:rsidRPr="006A612F">
        <w:rPr>
          <w:szCs w:val="17"/>
        </w:rPr>
        <w:t>www.nytimes.com</w:t>
      </w:r>
      <w:r w:rsidRPr="006A612F">
        <w:rPr>
          <w:szCs w:val="17"/>
        </w:rPr>
        <w:t>‌/</w:t>
      </w:r>
      <w:r w:rsidR="00315997" w:rsidRPr="006A612F">
        <w:rPr>
          <w:szCs w:val="17"/>
        </w:rPr>
        <w:t>2015</w:t>
      </w:r>
      <w:r w:rsidRPr="006A612F">
        <w:rPr>
          <w:szCs w:val="17"/>
        </w:rPr>
        <w:t>‌/</w:t>
      </w:r>
      <w:r w:rsidR="00315997" w:rsidRPr="006A612F">
        <w:rPr>
          <w:szCs w:val="17"/>
        </w:rPr>
        <w:t>07</w:t>
      </w:r>
      <w:r w:rsidRPr="006A612F">
        <w:rPr>
          <w:szCs w:val="17"/>
        </w:rPr>
        <w:t>‌/</w:t>
      </w:r>
      <w:r w:rsidR="00315997" w:rsidRPr="006A612F">
        <w:rPr>
          <w:szCs w:val="17"/>
        </w:rPr>
        <w:t>30</w:t>
      </w:r>
      <w:r w:rsidRPr="006A612F">
        <w:rPr>
          <w:szCs w:val="17"/>
        </w:rPr>
        <w:t>‌/</w:t>
      </w:r>
      <w:r w:rsidR="00315997" w:rsidRPr="006A612F">
        <w:rPr>
          <w:szCs w:val="17"/>
        </w:rPr>
        <w:t>us</w:t>
      </w:r>
      <w:r w:rsidRPr="006A612F">
        <w:rPr>
          <w:szCs w:val="17"/>
        </w:rPr>
        <w:t>‌/</w:t>
      </w:r>
      <w:r w:rsidR="00315997" w:rsidRPr="006A612F">
        <w:rPr>
          <w:szCs w:val="17"/>
        </w:rPr>
        <w:t>university-of-cincinnati-officer-indicted-in-shooting-death-of-motorist.html [</w:t>
      </w:r>
      <w:r w:rsidRPr="006A612F">
        <w:rPr>
          <w:szCs w:val="17"/>
        </w:rPr>
        <w:t>https://‌</w:t>
      </w:r>
      <w:r w:rsidR="00315997" w:rsidRPr="006A612F">
        <w:rPr>
          <w:szCs w:val="17"/>
        </w:rPr>
        <w:t>perma.cc</w:t>
      </w:r>
      <w:r w:rsidRPr="006A612F">
        <w:rPr>
          <w:szCs w:val="17"/>
        </w:rPr>
        <w:t>‌/</w:t>
      </w:r>
      <w:r w:rsidR="00315997" w:rsidRPr="006A612F">
        <w:rPr>
          <w:szCs w:val="17"/>
        </w:rPr>
        <w:t>G6WN-FLUP].</w:t>
      </w:r>
    </w:p>
  </w:footnote>
  <w:footnote w:id="100">
    <w:p w14:paraId="2AD476B4" w14:textId="2D144881"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Elisha Fieldstadt</w:t>
      </w:r>
      <w:r w:rsidR="00315997" w:rsidRPr="006A612F">
        <w:rPr>
          <w:i/>
          <w:iCs/>
          <w:szCs w:val="17"/>
        </w:rPr>
        <w:t>, Samuel DuBose Shooting: No Charges for Two Officers Who Responded</w:t>
      </w:r>
      <w:r w:rsidR="00315997" w:rsidRPr="006A612F">
        <w:rPr>
          <w:iCs/>
          <w:szCs w:val="17"/>
        </w:rPr>
        <w:t>,</w:t>
      </w:r>
      <w:r w:rsidR="00315997" w:rsidRPr="006A612F">
        <w:rPr>
          <w:i/>
          <w:iCs/>
          <w:szCs w:val="17"/>
        </w:rPr>
        <w:t xml:space="preserve"> </w:t>
      </w:r>
      <w:r w:rsidR="00315997" w:rsidRPr="006A612F">
        <w:rPr>
          <w:smallCaps/>
          <w:szCs w:val="17"/>
        </w:rPr>
        <w:t>NBC News</w:t>
      </w:r>
      <w:r w:rsidR="00315997" w:rsidRPr="006A612F">
        <w:rPr>
          <w:szCs w:val="17"/>
        </w:rPr>
        <w:t xml:space="preserve"> (July 31, 2015, 4:11 PM), </w:t>
      </w:r>
      <w:r w:rsidRPr="006A612F">
        <w:t>https://‌</w:t>
      </w:r>
      <w:r w:rsidR="00315997" w:rsidRPr="006A612F">
        <w:t>www.nbcnews.com</w:t>
      </w:r>
      <w:r w:rsidRPr="006A612F">
        <w:t>‌/</w:t>
      </w:r>
      <w:r w:rsidR="00315997" w:rsidRPr="006A612F">
        <w:t>news</w:t>
      </w:r>
      <w:r w:rsidRPr="006A612F">
        <w:t>‌/</w:t>
      </w:r>
      <w:r w:rsidR="00315997" w:rsidRPr="006A612F">
        <w:t>us-news</w:t>
      </w:r>
      <w:r w:rsidRPr="006A612F">
        <w:t>‌/</w:t>
      </w:r>
      <w:r w:rsidR="00315997" w:rsidRPr="006A612F">
        <w:t>cincinnati-traffic-stop-shooting-no-charges-two-officers-who-responded-n401971</w:t>
      </w:r>
      <w:r w:rsidR="00315997" w:rsidRPr="006A612F">
        <w:rPr>
          <w:szCs w:val="17"/>
        </w:rPr>
        <w:t xml:space="preserve"> [</w:t>
      </w:r>
      <w:r w:rsidRPr="006A612F">
        <w:rPr>
          <w:rStyle w:val="Strong"/>
          <w:b w:val="0"/>
          <w:bCs w:val="0"/>
          <w:szCs w:val="17"/>
        </w:rPr>
        <w:t>https://‌</w:t>
      </w:r>
      <w:r w:rsidR="00315997" w:rsidRPr="006A612F">
        <w:rPr>
          <w:rStyle w:val="Strong"/>
          <w:b w:val="0"/>
          <w:bCs w:val="0"/>
          <w:szCs w:val="17"/>
        </w:rPr>
        <w:t>perma.cc</w:t>
      </w:r>
      <w:r w:rsidRPr="006A612F">
        <w:rPr>
          <w:rStyle w:val="Strong"/>
          <w:b w:val="0"/>
          <w:bCs w:val="0"/>
          <w:szCs w:val="17"/>
        </w:rPr>
        <w:t>‌/</w:t>
      </w:r>
      <w:r w:rsidR="00315997" w:rsidRPr="006A612F">
        <w:rPr>
          <w:rStyle w:val="Strong"/>
          <w:b w:val="0"/>
          <w:bCs w:val="0"/>
          <w:szCs w:val="17"/>
        </w:rPr>
        <w:t>4EN7-CRYC</w:t>
      </w:r>
      <w:r w:rsidR="00315997" w:rsidRPr="006A612F">
        <w:rPr>
          <w:szCs w:val="17"/>
        </w:rPr>
        <w:t>].</w:t>
      </w:r>
    </w:p>
  </w:footnote>
  <w:footnote w:id="101">
    <w:p w14:paraId="33DAABB0" w14:textId="6EA8FFD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102">
    <w:p w14:paraId="66F93FAC" w14:textId="61F93F1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Pérez-Peña,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_Ref87805078 \h  \* MERGEFORMAT </w:instrText>
      </w:r>
      <w:r w:rsidR="00315997" w:rsidRPr="006A612F">
        <w:rPr>
          <w:szCs w:val="17"/>
        </w:rPr>
      </w:r>
      <w:r w:rsidR="00315997" w:rsidRPr="006A612F">
        <w:rPr>
          <w:szCs w:val="17"/>
        </w:rPr>
        <w:fldChar w:fldCharType="separate"/>
      </w:r>
      <w:r w:rsidR="00AA6ED0" w:rsidRPr="006A612F">
        <w:rPr>
          <w:szCs w:val="17"/>
        </w:rPr>
        <w:t>97</w:t>
      </w:r>
      <w:r w:rsidR="00315997" w:rsidRPr="006A612F">
        <w:rPr>
          <w:szCs w:val="17"/>
        </w:rPr>
        <w:fldChar w:fldCharType="end"/>
      </w:r>
      <w:r w:rsidR="00315997" w:rsidRPr="006A612F">
        <w:rPr>
          <w:szCs w:val="17"/>
        </w:rPr>
        <w:t>.</w:t>
      </w:r>
    </w:p>
  </w:footnote>
  <w:footnote w:id="103">
    <w:p w14:paraId="030CA74B" w14:textId="7A3A65D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104">
    <w:p w14:paraId="177A9AC0" w14:textId="2835E4B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 xml:space="preserve">Zak Cheney-Rice, </w:t>
      </w:r>
      <w:r w:rsidR="00315997" w:rsidRPr="006A612F">
        <w:rPr>
          <w:i/>
          <w:iCs/>
          <w:szCs w:val="17"/>
        </w:rPr>
        <w:t>Student Activists Fight to Restrict Officers Who Covered for Sam Dubose</w:t>
      </w:r>
      <w:r w:rsidRPr="006A612F">
        <w:rPr>
          <w:i/>
          <w:iCs/>
          <w:szCs w:val="17"/>
        </w:rPr>
        <w:t>’</w:t>
      </w:r>
      <w:r w:rsidR="00315997" w:rsidRPr="006A612F">
        <w:rPr>
          <w:i/>
          <w:iCs/>
          <w:szCs w:val="17"/>
        </w:rPr>
        <w:t>s Killer</w:t>
      </w:r>
      <w:r w:rsidR="00315997" w:rsidRPr="006A612F">
        <w:rPr>
          <w:szCs w:val="17"/>
        </w:rPr>
        <w:t xml:space="preserve">, </w:t>
      </w:r>
      <w:r w:rsidR="00315997" w:rsidRPr="006A612F">
        <w:rPr>
          <w:smallCaps/>
          <w:szCs w:val="17"/>
        </w:rPr>
        <w:t>Mic</w:t>
      </w:r>
      <w:r w:rsidR="00315997" w:rsidRPr="006A612F">
        <w:rPr>
          <w:szCs w:val="17"/>
        </w:rPr>
        <w:t xml:space="preserve"> (Nov. 16, 2015), </w:t>
      </w:r>
      <w:r w:rsidRPr="006A612F">
        <w:rPr>
          <w:szCs w:val="17"/>
        </w:rPr>
        <w:t>https://‌</w:t>
      </w:r>
      <w:r w:rsidR="00315997" w:rsidRPr="006A612F">
        <w:rPr>
          <w:szCs w:val="17"/>
        </w:rPr>
        <w:t>www.mic.com</w:t>
      </w:r>
      <w:r w:rsidRPr="006A612F">
        <w:rPr>
          <w:szCs w:val="17"/>
        </w:rPr>
        <w:t>‌/</w:t>
      </w:r>
      <w:r w:rsidR="00315997" w:rsidRPr="006A612F">
        <w:rPr>
          <w:szCs w:val="17"/>
        </w:rPr>
        <w:t>articles</w:t>
      </w:r>
      <w:r w:rsidRPr="006A612F">
        <w:rPr>
          <w:szCs w:val="17"/>
        </w:rPr>
        <w:t>‌/</w:t>
      </w:r>
      <w:r w:rsidR="00315997" w:rsidRPr="006A612F">
        <w:rPr>
          <w:szCs w:val="17"/>
        </w:rPr>
        <w:t>128622</w:t>
      </w:r>
      <w:r w:rsidRPr="006A612F">
        <w:rPr>
          <w:szCs w:val="17"/>
        </w:rPr>
        <w:t>‌/</w:t>
      </w:r>
      <w:r w:rsidR="00315997" w:rsidRPr="006A612F">
        <w:rPr>
          <w:szCs w:val="17"/>
        </w:rPr>
        <w:t>sam-dubose-killer-university-of-cincinnati-student-activists-fight-to-restrict-officers-who-covered-for-officer-ray-tensing [</w:t>
      </w:r>
      <w:r w:rsidRPr="006A612F">
        <w:rPr>
          <w:szCs w:val="17"/>
        </w:rPr>
        <w:t>https://‌</w:t>
      </w:r>
      <w:r w:rsidR="00315997" w:rsidRPr="006A612F">
        <w:rPr>
          <w:szCs w:val="17"/>
        </w:rPr>
        <w:t>perma.cc</w:t>
      </w:r>
      <w:r w:rsidRPr="006A612F">
        <w:rPr>
          <w:szCs w:val="17"/>
        </w:rPr>
        <w:t>‌/</w:t>
      </w:r>
      <w:r w:rsidR="00315997" w:rsidRPr="006A612F">
        <w:rPr>
          <w:szCs w:val="17"/>
        </w:rPr>
        <w:t xml:space="preserve">2HBB-GFFW] (stating that the other officers remained on active duty even after Tensing was indicted for murder and was awaiting trial); Fieldstadt,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_Ref92812407 \h  \* MERGEFORMAT </w:instrText>
      </w:r>
      <w:r w:rsidR="00315997" w:rsidRPr="006A612F">
        <w:rPr>
          <w:szCs w:val="17"/>
        </w:rPr>
      </w:r>
      <w:r w:rsidR="00315997" w:rsidRPr="006A612F">
        <w:rPr>
          <w:szCs w:val="17"/>
        </w:rPr>
        <w:fldChar w:fldCharType="separate"/>
      </w:r>
      <w:r w:rsidR="00AA6ED0" w:rsidRPr="006A612F">
        <w:rPr>
          <w:szCs w:val="17"/>
        </w:rPr>
        <w:t>98</w:t>
      </w:r>
      <w:r w:rsidR="00315997" w:rsidRPr="006A612F">
        <w:rPr>
          <w:szCs w:val="17"/>
        </w:rPr>
        <w:fldChar w:fldCharType="end"/>
      </w:r>
      <w:r w:rsidR="00315997" w:rsidRPr="006A612F">
        <w:rPr>
          <w:szCs w:val="17"/>
        </w:rPr>
        <w:t xml:space="preserve"> (stating that the officers did not face charges and were instead placed on paid administrative leave).</w:t>
      </w:r>
    </w:p>
  </w:footnote>
  <w:footnote w:id="105">
    <w:p w14:paraId="558F7B90" w14:textId="690AB83E"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w:t>
      </w:r>
      <w:r w:rsidR="00315997" w:rsidRPr="006A612F">
        <w:rPr>
          <w:smallCaps/>
          <w:szCs w:val="17"/>
        </w:rPr>
        <w:t>Jerome H. Skolnick &amp; James J. Fyfe, Above the Law: Police and the Excessive Use of Force</w:t>
      </w:r>
      <w:r w:rsidR="00315997" w:rsidRPr="006A612F">
        <w:rPr>
          <w:szCs w:val="17"/>
        </w:rPr>
        <w:t xml:space="preserve"> 6, 26, 34–36, 42 (1993) (indicating that the LAPD had a history of dismissing civilian complaints and concluding that, without videotape evidence, King</w:t>
      </w:r>
      <w:r w:rsidRPr="006A612F">
        <w:rPr>
          <w:szCs w:val="17"/>
        </w:rPr>
        <w:t>’</w:t>
      </w:r>
      <w:r w:rsidR="00315997" w:rsidRPr="006A612F">
        <w:rPr>
          <w:szCs w:val="17"/>
        </w:rPr>
        <w:t>s complaint might not have been sustained).</w:t>
      </w:r>
    </w:p>
  </w:footnote>
  <w:footnote w:id="106">
    <w:p w14:paraId="7C841C8C" w14:textId="3AE182D8" w:rsidR="00315997" w:rsidRPr="006A612F" w:rsidRDefault="00BF278E" w:rsidP="00AA6ED0">
      <w:pPr>
        <w:pStyle w:val="FootNote"/>
        <w:spacing w:line="240" w:lineRule="auto"/>
        <w:rPr>
          <w:color w:val="000000" w:themeColor="text1"/>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Rodney King was struck </w:t>
      </w:r>
      <w:r w:rsidRPr="006A612F">
        <w:rPr>
          <w:szCs w:val="17"/>
        </w:rPr>
        <w:t>“</w:t>
      </w:r>
      <w:r w:rsidR="00315997" w:rsidRPr="006A612F">
        <w:rPr>
          <w:szCs w:val="17"/>
        </w:rPr>
        <w:t>over fifty-three times</w:t>
      </w:r>
      <w:r w:rsidRPr="006A612F">
        <w:rPr>
          <w:szCs w:val="17"/>
        </w:rPr>
        <w:t>”</w:t>
      </w:r>
      <w:r w:rsidR="00315997" w:rsidRPr="006A612F">
        <w:rPr>
          <w:szCs w:val="17"/>
        </w:rPr>
        <w:t xml:space="preserve"> and kicked seven times by LAPD officers Lawrence Powell, Timothy Wind, and Theodore Briseno while Sgt. Stacey Koon observed</w:t>
      </w:r>
      <w:r w:rsidR="00315997" w:rsidRPr="006A612F">
        <w:rPr>
          <w:color w:val="000000" w:themeColor="text1"/>
          <w:szCs w:val="17"/>
        </w:rPr>
        <w:t xml:space="preserve">. </w:t>
      </w:r>
      <w:r w:rsidR="00315997" w:rsidRPr="006A612F">
        <w:rPr>
          <w:color w:val="000000" w:themeColor="text1"/>
          <w:szCs w:val="17"/>
          <w:shd w:val="clear" w:color="auto" w:fill="FFFFFF"/>
        </w:rPr>
        <w:t xml:space="preserve">Laurie L. Levenson, </w:t>
      </w:r>
      <w:r w:rsidR="00315997" w:rsidRPr="006A612F">
        <w:rPr>
          <w:i/>
          <w:iCs/>
          <w:color w:val="000000" w:themeColor="text1"/>
          <w:szCs w:val="17"/>
          <w:shd w:val="clear" w:color="auto" w:fill="FFFFFF"/>
        </w:rPr>
        <w:t>The Future</w:t>
      </w:r>
      <w:r w:rsidR="00315997" w:rsidRPr="006A612F">
        <w:rPr>
          <w:i/>
          <w:iCs/>
          <w:color w:val="000000" w:themeColor="text1"/>
          <w:szCs w:val="17"/>
        </w:rPr>
        <w:t xml:space="preserve"> </w:t>
      </w:r>
      <w:r w:rsidR="00315997" w:rsidRPr="006A612F">
        <w:rPr>
          <w:i/>
          <w:iCs/>
          <w:color w:val="000000" w:themeColor="text1"/>
          <w:szCs w:val="17"/>
          <w:shd w:val="clear" w:color="auto" w:fill="FFFFFF"/>
        </w:rPr>
        <w:t>of State and Federal Civil Rights Prosecutions: The Lessons of the Rodney King Trial</w:t>
      </w:r>
      <w:r w:rsidR="00315997" w:rsidRPr="006A612F">
        <w:rPr>
          <w:color w:val="000000" w:themeColor="text1"/>
          <w:szCs w:val="17"/>
          <w:shd w:val="clear" w:color="auto" w:fill="FFFFFF"/>
        </w:rPr>
        <w:t>, 41 UCLA L.</w:t>
      </w:r>
      <w:r w:rsidR="00315997" w:rsidRPr="006A612F">
        <w:rPr>
          <w:color w:val="000000" w:themeColor="text1"/>
          <w:szCs w:val="17"/>
        </w:rPr>
        <w:t xml:space="preserve"> </w:t>
      </w:r>
      <w:r w:rsidR="00315997" w:rsidRPr="006A612F">
        <w:rPr>
          <w:smallCaps/>
          <w:color w:val="000000" w:themeColor="text1"/>
          <w:szCs w:val="17"/>
          <w:shd w:val="clear" w:color="auto" w:fill="FFFFFF"/>
        </w:rPr>
        <w:t>Rev</w:t>
      </w:r>
      <w:r w:rsidR="00315997" w:rsidRPr="006A612F">
        <w:rPr>
          <w:color w:val="000000" w:themeColor="text1"/>
          <w:szCs w:val="17"/>
          <w:shd w:val="clear" w:color="auto" w:fill="FFFFFF"/>
        </w:rPr>
        <w:t>. 509, 516 (1994).</w:t>
      </w:r>
    </w:p>
  </w:footnote>
  <w:footnote w:id="107">
    <w:p w14:paraId="734833DF" w14:textId="4D864FF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Jennifer E. Koepke, </w:t>
      </w:r>
      <w:r w:rsidR="00315997" w:rsidRPr="006A612F">
        <w:rPr>
          <w:i/>
          <w:szCs w:val="17"/>
        </w:rPr>
        <w:t>The Failure to Breach the Blue Wall of Silence: The Circling of the Wagons to Protect Police Perjury</w:t>
      </w:r>
      <w:r w:rsidR="00315997" w:rsidRPr="006A612F">
        <w:rPr>
          <w:szCs w:val="17"/>
        </w:rPr>
        <w:t xml:space="preserve">, 39 </w:t>
      </w:r>
      <w:r w:rsidR="00315997" w:rsidRPr="006A612F">
        <w:rPr>
          <w:smallCaps/>
          <w:szCs w:val="17"/>
        </w:rPr>
        <w:t>Washburn</w:t>
      </w:r>
      <w:r w:rsidR="00315997" w:rsidRPr="006A612F">
        <w:rPr>
          <w:szCs w:val="17"/>
        </w:rPr>
        <w:t xml:space="preserve"> L.J. 211, 220 (2000).</w:t>
      </w:r>
    </w:p>
  </w:footnote>
  <w:footnote w:id="108">
    <w:p w14:paraId="33FAEC85" w14:textId="6D296795"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p>
  </w:footnote>
  <w:footnote w:id="109">
    <w:p w14:paraId="3C50838E" w14:textId="42E8F870"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Indep. Comm</w:t>
      </w:r>
      <w:r w:rsidRPr="006A612F">
        <w:rPr>
          <w:smallCaps/>
          <w:szCs w:val="17"/>
        </w:rPr>
        <w:t>’</w:t>
      </w:r>
      <w:r w:rsidR="00315997" w:rsidRPr="006A612F">
        <w:rPr>
          <w:smallCaps/>
          <w:szCs w:val="17"/>
        </w:rPr>
        <w:t>n on the L.A. Police Dep</w:t>
      </w:r>
      <w:r w:rsidRPr="006A612F">
        <w:rPr>
          <w:smallCaps/>
          <w:szCs w:val="17"/>
        </w:rPr>
        <w:t>’</w:t>
      </w:r>
      <w:r w:rsidR="00315997" w:rsidRPr="006A612F">
        <w:rPr>
          <w:smallCaps/>
          <w:szCs w:val="17"/>
        </w:rPr>
        <w:t>t,</w:t>
      </w:r>
      <w:r w:rsidR="00315997" w:rsidRPr="006A612F">
        <w:rPr>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_Ref87805144 \h  \* MERGEFORMAT </w:instrText>
      </w:r>
      <w:r w:rsidR="00315997" w:rsidRPr="006A612F">
        <w:rPr>
          <w:szCs w:val="17"/>
        </w:rPr>
      </w:r>
      <w:r w:rsidR="00315997" w:rsidRPr="006A612F">
        <w:rPr>
          <w:szCs w:val="17"/>
        </w:rPr>
        <w:fldChar w:fldCharType="separate"/>
      </w:r>
      <w:r w:rsidR="00AA6ED0" w:rsidRPr="006A612F">
        <w:rPr>
          <w:szCs w:val="17"/>
        </w:rPr>
        <w:t>96</w:t>
      </w:r>
      <w:r w:rsidR="00315997" w:rsidRPr="006A612F">
        <w:rPr>
          <w:szCs w:val="17"/>
        </w:rPr>
        <w:fldChar w:fldCharType="end"/>
      </w:r>
      <w:r w:rsidR="00315997" w:rsidRPr="006A612F">
        <w:rPr>
          <w:szCs w:val="17"/>
        </w:rPr>
        <w:t xml:space="preserve">, at xix; </w:t>
      </w:r>
      <w:r w:rsidR="00315997" w:rsidRPr="006A612F">
        <w:rPr>
          <w:i/>
          <w:iCs/>
          <w:szCs w:val="17"/>
        </w:rPr>
        <w:t>s</w:t>
      </w:r>
      <w:r w:rsidR="00315997" w:rsidRPr="006A612F">
        <w:rPr>
          <w:i/>
          <w:szCs w:val="17"/>
        </w:rPr>
        <w:t>ee also</w:t>
      </w:r>
      <w:r w:rsidR="00315997" w:rsidRPr="006A612F">
        <w:rPr>
          <w:szCs w:val="17"/>
        </w:rPr>
        <w:t xml:space="preserve"> </w:t>
      </w:r>
      <w:r w:rsidR="00315997" w:rsidRPr="006A612F">
        <w:rPr>
          <w:smallCaps/>
          <w:szCs w:val="17"/>
        </w:rPr>
        <w:t xml:space="preserve">Charles J. Ogletree, Jr., Mary Prosser, Abbe Smith &amp; William Talley, Jr., Beyond the Rodney King Story: An Investigation of Police </w:t>
      </w:r>
      <w:r w:rsidR="0091191F" w:rsidRPr="006A612F">
        <w:rPr>
          <w:smallCaps/>
          <w:szCs w:val="17"/>
        </w:rPr>
        <w:t>M</w:t>
      </w:r>
      <w:r w:rsidR="00315997" w:rsidRPr="006A612F">
        <w:rPr>
          <w:smallCaps/>
          <w:szCs w:val="17"/>
        </w:rPr>
        <w:t>isconduct in Minority Communities</w:t>
      </w:r>
      <w:r w:rsidR="00315997" w:rsidRPr="006A612F">
        <w:rPr>
          <w:szCs w:val="17"/>
        </w:rPr>
        <w:t xml:space="preserve"> 55–56 (1995) (noting examples of police pressing criminal or civil complaints as retaliation against victims who report police misconduct).</w:t>
      </w:r>
    </w:p>
  </w:footnote>
  <w:footnote w:id="110">
    <w:p w14:paraId="77D3C53C" w14:textId="7F579D5B" w:rsidR="00315997" w:rsidRPr="006A612F" w:rsidRDefault="00BF278E" w:rsidP="00AA6ED0">
      <w:pPr>
        <w:pStyle w:val="FootNote"/>
        <w:spacing w:line="240" w:lineRule="auto"/>
        <w:rPr>
          <w:color w:val="000000" w:themeColor="text1"/>
          <w:szCs w:val="17"/>
        </w:rPr>
      </w:pPr>
      <w:r w:rsidRPr="006A612F">
        <w:rPr>
          <w:i/>
          <w:iCs/>
          <w:color w:val="000000"/>
          <w:szCs w:val="17"/>
        </w:rPr>
        <w:fldChar w:fldCharType="begin"/>
      </w:r>
      <w:r w:rsidRPr="006A612F">
        <w:rPr>
          <w:i/>
          <w:iCs/>
          <w:color w:val="000000"/>
          <w:szCs w:val="17"/>
        </w:rPr>
        <w:instrText xml:space="preserve"> ADVANCE \r12 \* MERGEFORMAT </w:instrText>
      </w:r>
      <w:r w:rsidRPr="006A612F">
        <w:rPr>
          <w:i/>
          <w:iCs/>
          <w:color w:val="000000"/>
          <w:szCs w:val="17"/>
        </w:rPr>
        <w:fldChar w:fldCharType="end"/>
      </w:r>
      <w:r w:rsidR="00315997" w:rsidRPr="00732F34">
        <w:rPr>
          <w:rStyle w:val="NoterefInNote"/>
        </w:rPr>
        <w:footnoteRef/>
      </w:r>
      <w:r w:rsidRPr="00732F34">
        <w:rPr>
          <w:color w:val="000000"/>
          <w:szCs w:val="17"/>
        </w:rPr>
        <w:t>.</w:t>
      </w:r>
      <w:r w:rsidRPr="006A612F">
        <w:rPr>
          <w:i/>
          <w:iCs/>
          <w:color w:val="000000"/>
          <w:szCs w:val="17"/>
        </w:rPr>
        <w:fldChar w:fldCharType="begin"/>
      </w:r>
      <w:r w:rsidRPr="006A612F">
        <w:rPr>
          <w:i/>
          <w:iCs/>
          <w:color w:val="000000"/>
          <w:szCs w:val="17"/>
        </w:rPr>
        <w:instrText xml:space="preserve"> ADVANCE \r4 \* MERGEFORMAT </w:instrText>
      </w:r>
      <w:r w:rsidRPr="006A612F">
        <w:rPr>
          <w:i/>
          <w:iCs/>
          <w:color w:val="000000"/>
          <w:szCs w:val="17"/>
        </w:rPr>
        <w:fldChar w:fldCharType="end"/>
      </w:r>
      <w:r w:rsidR="00315997" w:rsidRPr="006A612F">
        <w:rPr>
          <w:i/>
          <w:iCs/>
          <w:color w:val="000000"/>
          <w:szCs w:val="17"/>
        </w:rPr>
        <w:t xml:space="preserve">See, </w:t>
      </w:r>
      <w:r w:rsidR="00315997" w:rsidRPr="0024777B">
        <w:rPr>
          <w:i/>
          <w:color w:val="000000"/>
          <w:szCs w:val="17"/>
        </w:rPr>
        <w:t>e.g.</w:t>
      </w:r>
      <w:r w:rsidR="00315997" w:rsidRPr="006A612F">
        <w:rPr>
          <w:color w:val="000000"/>
          <w:szCs w:val="17"/>
        </w:rPr>
        <w:t xml:space="preserve">, Nat Hentoff, </w:t>
      </w:r>
      <w:r w:rsidR="00315997" w:rsidRPr="006A612F">
        <w:rPr>
          <w:i/>
          <w:color w:val="000000"/>
          <w:szCs w:val="17"/>
        </w:rPr>
        <w:t>When Police Commit Perjury</w:t>
      </w:r>
      <w:r w:rsidR="00315997" w:rsidRPr="006A612F">
        <w:rPr>
          <w:color w:val="000000"/>
          <w:szCs w:val="17"/>
        </w:rPr>
        <w:t xml:space="preserve">, </w:t>
      </w:r>
      <w:r w:rsidR="00315997" w:rsidRPr="006A612F">
        <w:rPr>
          <w:smallCaps/>
          <w:color w:val="000000"/>
          <w:szCs w:val="17"/>
        </w:rPr>
        <w:t>Wash. Post</w:t>
      </w:r>
      <w:r w:rsidR="00315997" w:rsidRPr="006A612F">
        <w:rPr>
          <w:color w:val="000000"/>
          <w:szCs w:val="17"/>
        </w:rPr>
        <w:t xml:space="preserve"> (Sept. 5, 1985),</w:t>
      </w:r>
      <w:r w:rsidR="00315997" w:rsidRPr="006A612F">
        <w:rPr>
          <w:szCs w:val="17"/>
        </w:rPr>
        <w:t xml:space="preserve"> </w:t>
      </w:r>
      <w:r w:rsidRPr="006A612F">
        <w:rPr>
          <w:color w:val="000000"/>
        </w:rPr>
        <w:t>https://‌</w:t>
      </w:r>
      <w:r w:rsidR="00315997" w:rsidRPr="006A612F">
        <w:rPr>
          <w:color w:val="000000"/>
        </w:rPr>
        <w:br/>
        <w:t>www.washingtonpost.com</w:t>
      </w:r>
      <w:r w:rsidRPr="006A612F">
        <w:rPr>
          <w:color w:val="000000"/>
        </w:rPr>
        <w:t>‌/</w:t>
      </w:r>
      <w:r w:rsidR="00315997" w:rsidRPr="006A612F">
        <w:rPr>
          <w:color w:val="000000"/>
        </w:rPr>
        <w:t>archive</w:t>
      </w:r>
      <w:r w:rsidRPr="006A612F">
        <w:rPr>
          <w:color w:val="000000"/>
        </w:rPr>
        <w:t>‌/</w:t>
      </w:r>
      <w:r w:rsidR="00315997" w:rsidRPr="006A612F">
        <w:rPr>
          <w:color w:val="000000"/>
        </w:rPr>
        <w:t>politics</w:t>
      </w:r>
      <w:r w:rsidRPr="006A612F">
        <w:rPr>
          <w:color w:val="000000"/>
        </w:rPr>
        <w:t>‌/</w:t>
      </w:r>
      <w:r w:rsidR="00315997" w:rsidRPr="006A612F">
        <w:rPr>
          <w:color w:val="000000"/>
        </w:rPr>
        <w:t>1985</w:t>
      </w:r>
      <w:r w:rsidRPr="006A612F">
        <w:rPr>
          <w:color w:val="000000"/>
        </w:rPr>
        <w:t>‌/</w:t>
      </w:r>
      <w:r w:rsidR="00315997" w:rsidRPr="006A612F">
        <w:rPr>
          <w:color w:val="000000"/>
        </w:rPr>
        <w:t>09</w:t>
      </w:r>
      <w:r w:rsidRPr="006A612F">
        <w:rPr>
          <w:color w:val="000000"/>
        </w:rPr>
        <w:t>‌/</w:t>
      </w:r>
      <w:r w:rsidR="00315997" w:rsidRPr="006A612F">
        <w:rPr>
          <w:color w:val="000000"/>
        </w:rPr>
        <w:t>05</w:t>
      </w:r>
      <w:r w:rsidRPr="006A612F">
        <w:rPr>
          <w:color w:val="000000"/>
        </w:rPr>
        <w:t>‌/</w:t>
      </w:r>
      <w:r w:rsidR="00315997" w:rsidRPr="006A612F">
        <w:rPr>
          <w:color w:val="000000"/>
        </w:rPr>
        <w:t>when-police-commit-perjury</w:t>
      </w:r>
      <w:r w:rsidRPr="006A612F">
        <w:rPr>
          <w:color w:val="000000"/>
        </w:rPr>
        <w:t>‌/</w:t>
      </w:r>
      <w:r w:rsidR="00315997" w:rsidRPr="006A612F">
        <w:rPr>
          <w:color w:val="000000"/>
        </w:rPr>
        <w:t>3155925b-3</w:t>
      </w:r>
      <w:r w:rsidR="00315997" w:rsidRPr="006A612F">
        <w:rPr>
          <w:color w:val="000000"/>
        </w:rPr>
        <w:br/>
        <w:t>ce4-4d6b-8c62-d8a11790e478</w:t>
      </w:r>
      <w:r w:rsidRPr="006A612F">
        <w:rPr>
          <w:color w:val="000000"/>
        </w:rPr>
        <w:t>‌/</w:t>
      </w:r>
      <w:r w:rsidR="00315997" w:rsidRPr="006A612F">
        <w:rPr>
          <w:color w:val="000000"/>
          <w:szCs w:val="17"/>
        </w:rPr>
        <w:t xml:space="preserve"> [</w:t>
      </w:r>
      <w:r w:rsidRPr="006A612F">
        <w:rPr>
          <w:rStyle w:val="Strong"/>
          <w:b w:val="0"/>
          <w:bCs w:val="0"/>
          <w:szCs w:val="17"/>
        </w:rPr>
        <w:t>https://‌</w:t>
      </w:r>
      <w:r w:rsidR="00315997" w:rsidRPr="006A612F">
        <w:rPr>
          <w:rStyle w:val="Strong"/>
          <w:b w:val="0"/>
          <w:bCs w:val="0"/>
          <w:szCs w:val="17"/>
        </w:rPr>
        <w:t>perma.cc</w:t>
      </w:r>
      <w:r w:rsidRPr="006A612F">
        <w:rPr>
          <w:rStyle w:val="Strong"/>
          <w:b w:val="0"/>
          <w:bCs w:val="0"/>
          <w:szCs w:val="17"/>
        </w:rPr>
        <w:t>‌/</w:t>
      </w:r>
      <w:r w:rsidR="00315997" w:rsidRPr="006A612F">
        <w:rPr>
          <w:rStyle w:val="Strong"/>
          <w:b w:val="0"/>
          <w:bCs w:val="0"/>
          <w:szCs w:val="17"/>
        </w:rPr>
        <w:t>VP5H-C5H3</w:t>
      </w:r>
      <w:r w:rsidR="00315997" w:rsidRPr="006A612F">
        <w:rPr>
          <w:bCs/>
          <w:color w:val="000000"/>
          <w:szCs w:val="17"/>
        </w:rPr>
        <w:t>]</w:t>
      </w:r>
      <w:r w:rsidR="00315997" w:rsidRPr="006A612F">
        <w:rPr>
          <w:color w:val="000000"/>
          <w:szCs w:val="17"/>
        </w:rPr>
        <w:t xml:space="preserve"> (describing the view of Michael Avery that prosecutors and judges do nothing about obvious police perjury); David Rudovsky, Opinion, </w:t>
      </w:r>
      <w:r w:rsidR="00315997" w:rsidRPr="006A612F">
        <w:rPr>
          <w:i/>
          <w:color w:val="000000"/>
          <w:szCs w:val="17"/>
        </w:rPr>
        <w:t>Why It Was Hands Off on the Police</w:t>
      </w:r>
      <w:r w:rsidR="00315997" w:rsidRPr="006A612F">
        <w:rPr>
          <w:color w:val="000000"/>
          <w:szCs w:val="17"/>
        </w:rPr>
        <w:t xml:space="preserve">, </w:t>
      </w:r>
      <w:r w:rsidR="00315997" w:rsidRPr="006A612F">
        <w:rPr>
          <w:smallCaps/>
          <w:color w:val="000000"/>
          <w:szCs w:val="17"/>
        </w:rPr>
        <w:t>Phila. Inquirer</w:t>
      </w:r>
      <w:r w:rsidR="00315997" w:rsidRPr="006A612F">
        <w:rPr>
          <w:color w:val="000000"/>
          <w:szCs w:val="17"/>
        </w:rPr>
        <w:t xml:space="preserve">, Aug. 28, 1995, at A7 (describing instances in which prosecutors and judges ignored </w:t>
      </w:r>
      <w:r w:rsidRPr="006A612F">
        <w:rPr>
          <w:color w:val="000000"/>
          <w:szCs w:val="17"/>
        </w:rPr>
        <w:t>“</w:t>
      </w:r>
      <w:r w:rsidR="00315997" w:rsidRPr="006A612F">
        <w:rPr>
          <w:color w:val="000000"/>
          <w:szCs w:val="17"/>
        </w:rPr>
        <w:t>hard evidence</w:t>
      </w:r>
      <w:r w:rsidRPr="006A612F">
        <w:rPr>
          <w:color w:val="000000"/>
          <w:szCs w:val="17"/>
        </w:rPr>
        <w:t>”</w:t>
      </w:r>
      <w:r w:rsidR="00315997" w:rsidRPr="006A612F">
        <w:rPr>
          <w:color w:val="000000"/>
          <w:szCs w:val="17"/>
        </w:rPr>
        <w:t xml:space="preserve"> of false warrant applications, false police reports, and perjury in a series of Philadelphia cases).</w:t>
      </w:r>
    </w:p>
  </w:footnote>
  <w:footnote w:id="111">
    <w:p w14:paraId="12428928" w14:textId="58DC138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Alan M. Dershowitz, </w:t>
      </w:r>
      <w:r w:rsidR="00315997" w:rsidRPr="006A612F">
        <w:rPr>
          <w:i/>
          <w:szCs w:val="17"/>
        </w:rPr>
        <w:t>Controlling the Cops; Accomplices to Perjury</w:t>
      </w:r>
      <w:r w:rsidR="00315997" w:rsidRPr="006A612F">
        <w:rPr>
          <w:szCs w:val="17"/>
        </w:rPr>
        <w:t xml:space="preserve">, </w:t>
      </w:r>
      <w:r w:rsidR="00315997" w:rsidRPr="006A612F">
        <w:rPr>
          <w:smallCaps/>
          <w:szCs w:val="17"/>
        </w:rPr>
        <w:t>N.Y. Times,</w:t>
      </w:r>
      <w:r w:rsidR="00315997" w:rsidRPr="006A612F">
        <w:rPr>
          <w:szCs w:val="17"/>
        </w:rPr>
        <w:t xml:space="preserve"> May 2, 1994, at A17, </w:t>
      </w:r>
      <w:r w:rsidRPr="006A612F">
        <w:t>https://‌</w:t>
      </w:r>
      <w:r w:rsidR="00315997" w:rsidRPr="006A612F">
        <w:t>www.nytimes.com</w:t>
      </w:r>
      <w:r w:rsidRPr="006A612F">
        <w:t>‌/</w:t>
      </w:r>
      <w:r w:rsidR="00315997" w:rsidRPr="006A612F">
        <w:t>1994</w:t>
      </w:r>
      <w:r w:rsidRPr="006A612F">
        <w:t>‌/</w:t>
      </w:r>
      <w:r w:rsidR="00315997" w:rsidRPr="006A612F">
        <w:t>05</w:t>
      </w:r>
      <w:r w:rsidRPr="006A612F">
        <w:t>‌/</w:t>
      </w:r>
      <w:r w:rsidR="00315997" w:rsidRPr="006A612F">
        <w:t>02</w:t>
      </w:r>
      <w:r w:rsidRPr="006A612F">
        <w:t>‌/</w:t>
      </w:r>
      <w:r w:rsidR="00315997" w:rsidRPr="006A612F">
        <w:t>opinion</w:t>
      </w:r>
      <w:r w:rsidRPr="006A612F">
        <w:t>‌/</w:t>
      </w:r>
      <w:r w:rsidR="00315997" w:rsidRPr="006A612F">
        <w:t>controlling-the-cops-accomplices-to-perjury.html</w:t>
      </w:r>
      <w:r w:rsidR="00315997" w:rsidRPr="006A612F">
        <w:rPr>
          <w:szCs w:val="17"/>
        </w:rPr>
        <w:t xml:space="preserve"> [</w:t>
      </w:r>
      <w:r w:rsidRPr="006A612F">
        <w:rPr>
          <w:rStyle w:val="Strong"/>
          <w:b w:val="0"/>
          <w:szCs w:val="17"/>
        </w:rPr>
        <w:t>https://‌</w:t>
      </w:r>
      <w:r w:rsidR="00315997" w:rsidRPr="006A612F">
        <w:rPr>
          <w:rStyle w:val="Strong"/>
          <w:b w:val="0"/>
          <w:szCs w:val="17"/>
        </w:rPr>
        <w:t>perma.cc</w:t>
      </w:r>
      <w:r w:rsidRPr="006A612F">
        <w:rPr>
          <w:rStyle w:val="Strong"/>
          <w:b w:val="0"/>
          <w:szCs w:val="17"/>
        </w:rPr>
        <w:t>‌/</w:t>
      </w:r>
      <w:r w:rsidR="00315997" w:rsidRPr="006A612F">
        <w:rPr>
          <w:rStyle w:val="Strong"/>
          <w:b w:val="0"/>
          <w:szCs w:val="17"/>
        </w:rPr>
        <w:t>5MEA-5L79</w:t>
      </w:r>
      <w:r w:rsidR="00315997" w:rsidRPr="006A612F">
        <w:rPr>
          <w:szCs w:val="17"/>
        </w:rPr>
        <w:t>].</w:t>
      </w:r>
    </w:p>
  </w:footnote>
  <w:footnote w:id="112">
    <w:p w14:paraId="71D97577" w14:textId="4DF65DF0" w:rsidR="00315997" w:rsidRPr="006A612F" w:rsidRDefault="00BF278E" w:rsidP="00AA6ED0">
      <w:pPr>
        <w:pStyle w:val="FootNote"/>
        <w:spacing w:line="240" w:lineRule="auto"/>
        <w:rPr>
          <w:b/>
          <w:bCs/>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42 U.S.C. § 1983.</w:t>
      </w:r>
    </w:p>
  </w:footnote>
  <w:footnote w:id="113">
    <w:p w14:paraId="1D948ED6" w14:textId="3EB11C16" w:rsidR="00315997" w:rsidRPr="006A612F" w:rsidRDefault="00BF278E" w:rsidP="00FE7FAB">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Blessing v. Firestone, 520 U.S. 329, 340 (1997) (explaining that a § 1983 plaintiff</w:t>
      </w:r>
      <w:r w:rsidR="0091191F" w:rsidRPr="006A612F">
        <w:rPr>
          <w:szCs w:val="17"/>
        </w:rPr>
        <w:t xml:space="preserve"> </w:t>
      </w:r>
      <w:r w:rsidR="00315997" w:rsidRPr="006A612F">
        <w:rPr>
          <w:szCs w:val="17"/>
        </w:rPr>
        <w:t xml:space="preserve">must prove a </w:t>
      </w:r>
      <w:r w:rsidRPr="006A612F">
        <w:rPr>
          <w:szCs w:val="17"/>
        </w:rPr>
        <w:t>“</w:t>
      </w:r>
      <w:r w:rsidR="00315997" w:rsidRPr="006A612F">
        <w:rPr>
          <w:szCs w:val="17"/>
        </w:rPr>
        <w:t xml:space="preserve">violation of a federal </w:t>
      </w:r>
      <w:r w:rsidR="00315997" w:rsidRPr="006A612F">
        <w:rPr>
          <w:i/>
          <w:iCs/>
          <w:szCs w:val="17"/>
        </w:rPr>
        <w:t>right</w:t>
      </w:r>
      <w:r w:rsidR="00315997" w:rsidRPr="006A612F">
        <w:rPr>
          <w:szCs w:val="17"/>
        </w:rPr>
        <w:t xml:space="preserve">, not merely a violation of federal </w:t>
      </w:r>
      <w:r w:rsidR="00315997" w:rsidRPr="006A612F">
        <w:rPr>
          <w:i/>
          <w:iCs/>
          <w:szCs w:val="17"/>
        </w:rPr>
        <w:t>law</w:t>
      </w:r>
      <w:r w:rsidRPr="006A612F">
        <w:rPr>
          <w:szCs w:val="17"/>
        </w:rPr>
        <w:t>”</w:t>
      </w:r>
      <w:r w:rsidR="00315997" w:rsidRPr="006A612F">
        <w:rPr>
          <w:szCs w:val="17"/>
        </w:rPr>
        <w:t>).</w:t>
      </w:r>
    </w:p>
  </w:footnote>
  <w:footnote w:id="114">
    <w:p w14:paraId="67387045" w14:textId="6EB47EA2"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42 U.S.C. § 1983 reads in pertinent part:</w:t>
      </w:r>
    </w:p>
    <w:p w14:paraId="7B3800AC" w14:textId="2AA6118A" w:rsidR="00315997" w:rsidRPr="006A612F" w:rsidRDefault="00315997" w:rsidP="00AA6ED0">
      <w:pPr>
        <w:pStyle w:val="FootNote"/>
        <w:spacing w:line="240" w:lineRule="auto"/>
        <w:ind w:left="446" w:right="446"/>
        <w:rPr>
          <w:szCs w:val="17"/>
          <w:shd w:val="clear" w:color="auto" w:fill="FFFFFF"/>
        </w:rPr>
      </w:pPr>
      <w:r w:rsidRPr="006A612F">
        <w:rPr>
          <w:color w:val="000000"/>
          <w:szCs w:val="17"/>
          <w:shd w:val="clear" w:color="auto" w:fill="FFFFFF"/>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w:t>
      </w:r>
      <w:r w:rsidR="00BF278E" w:rsidRPr="006A612F">
        <w:rPr>
          <w:color w:val="000000"/>
          <w:szCs w:val="17"/>
          <w:shd w:val="clear" w:color="auto" w:fill="FFFFFF"/>
        </w:rPr>
        <w:t>. . . .</w:t>
      </w:r>
    </w:p>
    <w:p w14:paraId="2E7EBF1F" w14:textId="6F9A6621" w:rsidR="00315997" w:rsidRPr="0024777B" w:rsidRDefault="00315997" w:rsidP="00AA6ED0">
      <w:pPr>
        <w:pStyle w:val="FootNote"/>
        <w:spacing w:line="240" w:lineRule="auto"/>
        <w:rPr>
          <w:i/>
          <w:color w:val="000000"/>
          <w:szCs w:val="17"/>
        </w:rPr>
      </w:pPr>
      <w:r w:rsidRPr="0024777B">
        <w:rPr>
          <w:i/>
          <w:color w:val="000000" w:themeColor="text1"/>
          <w:szCs w:val="17"/>
        </w:rPr>
        <w:t>Id.</w:t>
      </w:r>
    </w:p>
  </w:footnote>
  <w:footnote w:id="115">
    <w:p w14:paraId="4F76CCD2" w14:textId="3136A29F"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Additionally, plaintiffs seeking monetary damages must demonstrate they suffered an </w:t>
      </w:r>
      <w:r w:rsidRPr="006A612F">
        <w:rPr>
          <w:szCs w:val="17"/>
        </w:rPr>
        <w:t>“</w:t>
      </w:r>
      <w:r w:rsidR="00315997" w:rsidRPr="006A612F">
        <w:rPr>
          <w:szCs w:val="17"/>
        </w:rPr>
        <w:t>actual injury</w:t>
      </w:r>
      <w:r w:rsidRPr="006A612F">
        <w:rPr>
          <w:szCs w:val="17"/>
        </w:rPr>
        <w:t>”</w:t>
      </w:r>
      <w:r w:rsidR="00315997" w:rsidRPr="006A612F">
        <w:rPr>
          <w:szCs w:val="17"/>
        </w:rPr>
        <w:t xml:space="preserve"> and that the constitutional deprivation caused the </w:t>
      </w:r>
      <w:r w:rsidRPr="006A612F">
        <w:rPr>
          <w:szCs w:val="17"/>
        </w:rPr>
        <w:t>“</w:t>
      </w:r>
      <w:r w:rsidR="00315997" w:rsidRPr="006A612F">
        <w:rPr>
          <w:szCs w:val="17"/>
        </w:rPr>
        <w:t>actual injury.</w:t>
      </w:r>
      <w:r w:rsidRPr="006A612F">
        <w:rPr>
          <w:szCs w:val="17"/>
        </w:rPr>
        <w:t>”</w:t>
      </w:r>
      <w:r w:rsidR="00315997" w:rsidRPr="006A612F">
        <w:rPr>
          <w:szCs w:val="17"/>
        </w:rPr>
        <w:t xml:space="preserve"> Farrar v. Hobby, 506 U.S. 103, 112 (1992).</w:t>
      </w:r>
    </w:p>
  </w:footnote>
  <w:footnote w:id="116">
    <w:p w14:paraId="1B9C75D9" w14:textId="0D3589B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Teressa E. Ravenell, </w:t>
      </w:r>
      <w:r w:rsidR="00315997" w:rsidRPr="006A612F">
        <w:rPr>
          <w:i/>
          <w:iCs/>
          <w:szCs w:val="17"/>
        </w:rPr>
        <w:t>Cause and Conviction: The Role of Causation in § 1983 Wrongful Conviction Claims</w:t>
      </w:r>
      <w:r w:rsidR="00315997" w:rsidRPr="006A612F">
        <w:rPr>
          <w:szCs w:val="17"/>
        </w:rPr>
        <w:t xml:space="preserve">, 81 </w:t>
      </w:r>
      <w:r w:rsidR="00315997" w:rsidRPr="006A612F">
        <w:rPr>
          <w:smallCaps/>
          <w:szCs w:val="17"/>
        </w:rPr>
        <w:t>Temp. L. Rev</w:t>
      </w:r>
      <w:r w:rsidR="00315997" w:rsidRPr="006A612F">
        <w:rPr>
          <w:szCs w:val="17"/>
        </w:rPr>
        <w:t>. 689, 710 (2008).</w:t>
      </w:r>
    </w:p>
  </w:footnote>
  <w:footnote w:id="117">
    <w:p w14:paraId="5C61CC57" w14:textId="0DED30B4"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Monell v. Dep</w:t>
      </w:r>
      <w:r w:rsidRPr="006A612F">
        <w:rPr>
          <w:szCs w:val="17"/>
        </w:rPr>
        <w:t>’</w:t>
      </w:r>
      <w:r w:rsidR="00315997" w:rsidRPr="006A612F">
        <w:rPr>
          <w:szCs w:val="17"/>
        </w:rPr>
        <w:t>t of Soc. Servs. of N.Y., 436 U.S. 658, 692 (1978).</w:t>
      </w:r>
    </w:p>
  </w:footnote>
  <w:footnote w:id="118">
    <w:p w14:paraId="2EE8FC86" w14:textId="6C43EF95"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Jilka, </w:t>
      </w:r>
      <w:r w:rsidR="00315997" w:rsidRPr="006A612F">
        <w:rPr>
          <w:i/>
          <w:iCs/>
          <w:szCs w:val="17"/>
        </w:rPr>
        <w:t>supra</w:t>
      </w:r>
      <w:r w:rsidR="00315997" w:rsidRPr="006A612F">
        <w:rPr>
          <w:szCs w:val="17"/>
        </w:rPr>
        <w:t xml:space="preserve"> note </w:t>
      </w:r>
      <w:r w:rsidR="00315997" w:rsidRPr="006A612F">
        <w:rPr>
          <w:szCs w:val="17"/>
        </w:rPr>
        <w:fldChar w:fldCharType="begin"/>
      </w:r>
      <w:r w:rsidR="00315997" w:rsidRPr="006A612F">
        <w:rPr>
          <w:szCs w:val="17"/>
        </w:rPr>
        <w:instrText xml:space="preserve"> NOTEREF _Ref83810119 \h  \* MERGEFORMAT </w:instrText>
      </w:r>
      <w:r w:rsidR="00315997" w:rsidRPr="006A612F">
        <w:rPr>
          <w:szCs w:val="17"/>
        </w:rPr>
      </w:r>
      <w:r w:rsidR="00315997" w:rsidRPr="006A612F">
        <w:rPr>
          <w:szCs w:val="17"/>
        </w:rPr>
        <w:fldChar w:fldCharType="separate"/>
      </w:r>
      <w:r w:rsidR="00AA6ED0" w:rsidRPr="006A612F">
        <w:rPr>
          <w:szCs w:val="17"/>
        </w:rPr>
        <w:t>64</w:t>
      </w:r>
      <w:r w:rsidR="00315997" w:rsidRPr="006A612F">
        <w:rPr>
          <w:szCs w:val="17"/>
        </w:rPr>
        <w:fldChar w:fldCharType="end"/>
      </w:r>
      <w:r w:rsidR="00315997" w:rsidRPr="006A612F">
        <w:rPr>
          <w:szCs w:val="17"/>
        </w:rPr>
        <w:t xml:space="preserve">, at 26 (discussing how courts </w:t>
      </w:r>
      <w:r w:rsidRPr="006A612F">
        <w:rPr>
          <w:szCs w:val="17"/>
        </w:rPr>
        <w:t>“</w:t>
      </w:r>
      <w:r w:rsidR="00315997" w:rsidRPr="006A612F">
        <w:rPr>
          <w:szCs w:val="17"/>
        </w:rPr>
        <w:t>carefully examine the causal connection between the plaintiff</w:t>
      </w:r>
      <w:r w:rsidRPr="006A612F">
        <w:rPr>
          <w:szCs w:val="17"/>
        </w:rPr>
        <w:t>’</w:t>
      </w:r>
      <w:r w:rsidR="00315997" w:rsidRPr="006A612F">
        <w:rPr>
          <w:szCs w:val="17"/>
        </w:rPr>
        <w:t>s injury and the alleged unconstitutional policy or custom</w:t>
      </w:r>
      <w:r w:rsidRPr="006A612F">
        <w:rPr>
          <w:szCs w:val="17"/>
        </w:rPr>
        <w:t>”</w:t>
      </w:r>
      <w:r w:rsidR="00315997" w:rsidRPr="006A612F">
        <w:rPr>
          <w:szCs w:val="17"/>
        </w:rPr>
        <w:t xml:space="preserve"> and describing the case law governing municipal liability under § 1983).</w:t>
      </w:r>
    </w:p>
  </w:footnote>
  <w:footnote w:id="119">
    <w:p w14:paraId="3B2C6F21" w14:textId="5C9DB89B"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Teressa E. Ravenell, </w:t>
      </w:r>
      <w:r w:rsidR="00315997" w:rsidRPr="006A612F">
        <w:rPr>
          <w:i/>
          <w:iCs/>
          <w:szCs w:val="17"/>
        </w:rPr>
        <w:t>Blame It on the Man: Theorizing the Relationship Between § 1983 Municipal Liability and the Qualified Immunity Defense</w:t>
      </w:r>
      <w:r w:rsidR="00315997" w:rsidRPr="006A612F">
        <w:rPr>
          <w:szCs w:val="17"/>
        </w:rPr>
        <w:t xml:space="preserve">, 41 </w:t>
      </w:r>
      <w:r w:rsidR="00315997" w:rsidRPr="006A612F">
        <w:rPr>
          <w:smallCaps/>
          <w:szCs w:val="17"/>
        </w:rPr>
        <w:t>Seton Hall L. Rev</w:t>
      </w:r>
      <w:r w:rsidR="00315997" w:rsidRPr="006A612F">
        <w:rPr>
          <w:szCs w:val="17"/>
        </w:rPr>
        <w:t>. 153, 160 (2011).</w:t>
      </w:r>
    </w:p>
  </w:footnote>
  <w:footnote w:id="120">
    <w:p w14:paraId="32B025A6" w14:textId="7F805C41"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Bd. of Cnty. Comm</w:t>
      </w:r>
      <w:r w:rsidRPr="006A612F">
        <w:rPr>
          <w:szCs w:val="17"/>
        </w:rPr>
        <w:t>’</w:t>
      </w:r>
      <w:r w:rsidR="00315997" w:rsidRPr="006A612F">
        <w:rPr>
          <w:szCs w:val="17"/>
        </w:rPr>
        <w:t>rs of Bryan Cnty. v. Brown, 520 U.S. 397, 410 (1997) (</w:t>
      </w:r>
      <w:r w:rsidRPr="006A612F">
        <w:rPr>
          <w:szCs w:val="17"/>
        </w:rPr>
        <w:t>“</w:t>
      </w:r>
      <w:r w:rsidR="00315997" w:rsidRPr="006A612F">
        <w:rPr>
          <w:szCs w:val="17"/>
          <w:shd w:val="clear" w:color="auto" w:fill="FFFFFF"/>
        </w:rPr>
        <w:t xml:space="preserve">Every injury suffered at the hands of a municipal employee can be traced to a hiring decision in a </w:t>
      </w:r>
      <w:r w:rsidRPr="006A612F">
        <w:rPr>
          <w:szCs w:val="17"/>
          <w:shd w:val="clear" w:color="auto" w:fill="FFFFFF"/>
        </w:rPr>
        <w:t>‘</w:t>
      </w:r>
      <w:r w:rsidR="00315997" w:rsidRPr="006A612F">
        <w:rPr>
          <w:szCs w:val="17"/>
          <w:shd w:val="clear" w:color="auto" w:fill="FFFFFF"/>
        </w:rPr>
        <w:t>but-for</w:t>
      </w:r>
      <w:r w:rsidRPr="006A612F">
        <w:rPr>
          <w:szCs w:val="17"/>
          <w:shd w:val="clear" w:color="auto" w:fill="FFFFFF"/>
        </w:rPr>
        <w:t>’</w:t>
      </w:r>
      <w:r w:rsidR="00315997" w:rsidRPr="006A612F">
        <w:rPr>
          <w:szCs w:val="17"/>
          <w:shd w:val="clear" w:color="auto" w:fill="FFFFFF"/>
        </w:rPr>
        <w:t xml:space="preserve"> sense: But for the municipality</w:t>
      </w:r>
      <w:r w:rsidRPr="006A612F">
        <w:rPr>
          <w:szCs w:val="17"/>
          <w:shd w:val="clear" w:color="auto" w:fill="FFFFFF"/>
        </w:rPr>
        <w:t>’</w:t>
      </w:r>
      <w:r w:rsidR="00315997" w:rsidRPr="006A612F">
        <w:rPr>
          <w:szCs w:val="17"/>
          <w:shd w:val="clear" w:color="auto" w:fill="FFFFFF"/>
        </w:rPr>
        <w:t>s decision to hire the employee, the plaintiff would not have suffered the injury.</w:t>
      </w:r>
      <w:r w:rsidRPr="006A612F">
        <w:rPr>
          <w:szCs w:val="17"/>
          <w:shd w:val="clear" w:color="auto" w:fill="FFFFFF"/>
        </w:rPr>
        <w:t>”</w:t>
      </w:r>
      <w:r w:rsidR="00315997" w:rsidRPr="006A612F">
        <w:rPr>
          <w:szCs w:val="17"/>
          <w:shd w:val="clear" w:color="auto" w:fill="FFFFFF"/>
        </w:rPr>
        <w:t>).</w:t>
      </w:r>
    </w:p>
  </w:footnote>
  <w:footnote w:id="121">
    <w:p w14:paraId="2AA110EC" w14:textId="1F82314F"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See</w:t>
      </w:r>
      <w:r w:rsidR="00315997" w:rsidRPr="006A612F">
        <w:rPr>
          <w:szCs w:val="17"/>
        </w:rPr>
        <w:t xml:space="preserve"> City of Canton v. Harris, 489 U.S. 378, 393 (1989) (O</w:t>
      </w:r>
      <w:r w:rsidRPr="006A612F">
        <w:rPr>
          <w:szCs w:val="17"/>
        </w:rPr>
        <w:t>’</w:t>
      </w:r>
      <w:r w:rsidR="00315997" w:rsidRPr="006A612F">
        <w:rPr>
          <w:szCs w:val="17"/>
        </w:rPr>
        <w:t>Connor, J., concurring in part) (concurring with the Court</w:t>
      </w:r>
      <w:r w:rsidRPr="006A612F">
        <w:rPr>
          <w:szCs w:val="17"/>
        </w:rPr>
        <w:t>’</w:t>
      </w:r>
      <w:r w:rsidR="00315997" w:rsidRPr="006A612F">
        <w:rPr>
          <w:szCs w:val="17"/>
        </w:rPr>
        <w:t xml:space="preserve">s upholding of a higher standard than </w:t>
      </w:r>
      <w:r w:rsidRPr="006A612F">
        <w:rPr>
          <w:szCs w:val="17"/>
        </w:rPr>
        <w:t>“</w:t>
      </w:r>
      <w:r w:rsidR="00315997" w:rsidRPr="006A612F">
        <w:rPr>
          <w:szCs w:val="17"/>
        </w:rPr>
        <w:t>but for</w:t>
      </w:r>
      <w:r w:rsidRPr="006A612F">
        <w:rPr>
          <w:szCs w:val="17"/>
        </w:rPr>
        <w:t>”</w:t>
      </w:r>
      <w:r w:rsidR="00315997" w:rsidRPr="006A612F">
        <w:rPr>
          <w:szCs w:val="17"/>
        </w:rPr>
        <w:t xml:space="preserve"> causation for § 1983 plaintiffs bringing </w:t>
      </w:r>
      <w:r w:rsidRPr="006A612F">
        <w:rPr>
          <w:szCs w:val="17"/>
        </w:rPr>
        <w:t>“</w:t>
      </w:r>
      <w:r w:rsidR="00315997" w:rsidRPr="006A612F">
        <w:rPr>
          <w:szCs w:val="17"/>
        </w:rPr>
        <w:t>failure to train</w:t>
      </w:r>
      <w:r w:rsidRPr="006A612F">
        <w:rPr>
          <w:szCs w:val="17"/>
        </w:rPr>
        <w:t>”</w:t>
      </w:r>
      <w:r w:rsidR="00315997" w:rsidRPr="006A612F">
        <w:rPr>
          <w:szCs w:val="17"/>
        </w:rPr>
        <w:t xml:space="preserve"> claims against municipalities).</w:t>
      </w:r>
    </w:p>
  </w:footnote>
  <w:footnote w:id="122">
    <w:p w14:paraId="0012E962" w14:textId="07FF6DD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There can be up to three separate causation questions in § 1983 litigation: due process causation, statutory causation, and damages causation. To establish deprivation of a substantive due process right, a plaintiff must prove that the defendant caused them to be deprived of a Fourteenth Amendment interest. Specifically, for Fourteenth Amendment cases, the State is only liable when it has taken an affirmative act to restrain a victim</w:t>
      </w:r>
      <w:r w:rsidRPr="006A612F">
        <w:rPr>
          <w:szCs w:val="17"/>
        </w:rPr>
        <w:t>’</w:t>
      </w:r>
      <w:r w:rsidR="00315997" w:rsidRPr="006A612F">
        <w:rPr>
          <w:szCs w:val="17"/>
        </w:rPr>
        <w:t xml:space="preserve">s liberty. </w:t>
      </w:r>
      <w:r w:rsidR="00315997" w:rsidRPr="006A612F">
        <w:rPr>
          <w:i/>
          <w:iCs/>
          <w:szCs w:val="17"/>
        </w:rPr>
        <w:t xml:space="preserve">See </w:t>
      </w:r>
      <w:r w:rsidR="00315997" w:rsidRPr="006A612F">
        <w:rPr>
          <w:szCs w:val="17"/>
        </w:rPr>
        <w:t xml:space="preserve">Ravenell, </w:t>
      </w:r>
      <w:r w:rsidR="00315997" w:rsidRPr="006A612F">
        <w:rPr>
          <w:i/>
          <w:iCs/>
          <w:szCs w:val="17"/>
        </w:rPr>
        <w:t xml:space="preserve">supra </w:t>
      </w:r>
      <w:r w:rsidR="00315997" w:rsidRPr="006A612F">
        <w:rPr>
          <w:szCs w:val="17"/>
        </w:rPr>
        <w:t>note 116, at 708–10 (describing causation requirements in § 1983 litigation). Additionally, as discussed in Part I, §</w:t>
      </w:r>
      <w:r w:rsidR="0091191F" w:rsidRPr="006A612F">
        <w:rPr>
          <w:szCs w:val="17"/>
        </w:rPr>
        <w:t> </w:t>
      </w:r>
      <w:r w:rsidR="00315997" w:rsidRPr="006A612F">
        <w:rPr>
          <w:szCs w:val="17"/>
        </w:rPr>
        <w:t>1983 plaintiffs must prove that each individual defendant subjected or caused them to be deprived of a constitutional right. Finally, a plaintiff seeking compensatory damages must prove that the defendant</w:t>
      </w:r>
      <w:r w:rsidRPr="006A612F">
        <w:rPr>
          <w:szCs w:val="17"/>
        </w:rPr>
        <w:t>’</w:t>
      </w:r>
      <w:r w:rsidR="00315997" w:rsidRPr="006A612F">
        <w:rPr>
          <w:szCs w:val="17"/>
        </w:rPr>
        <w:t xml:space="preserve">s constitutional violation caused the plaintiff to suffer an actual injury. </w:t>
      </w:r>
      <w:r w:rsidR="00315997" w:rsidRPr="0024777B">
        <w:rPr>
          <w:i/>
          <w:szCs w:val="17"/>
        </w:rPr>
        <w:t>Id.</w:t>
      </w:r>
    </w:p>
  </w:footnote>
  <w:footnote w:id="123">
    <w:p w14:paraId="708FF831" w14:textId="042EE021"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Duncan v. Duckworth</w:t>
      </w:r>
      <w:r w:rsidR="00315997" w:rsidRPr="006A612F">
        <w:rPr>
          <w:i/>
          <w:szCs w:val="17"/>
        </w:rPr>
        <w:t>,</w:t>
      </w:r>
      <w:r w:rsidR="00315997" w:rsidRPr="006A612F">
        <w:rPr>
          <w:szCs w:val="17"/>
          <w:shd w:val="clear" w:color="auto" w:fill="FFFFFF"/>
        </w:rPr>
        <w:t> 644 F.2d 653, 655 (1st Cir.1980) (</w:t>
      </w:r>
      <w:r w:rsidRPr="006A612F">
        <w:rPr>
          <w:szCs w:val="17"/>
          <w:shd w:val="clear" w:color="auto" w:fill="FFFFFF"/>
        </w:rPr>
        <w:t>“</w:t>
      </w:r>
      <w:r w:rsidR="00315997" w:rsidRPr="006A612F">
        <w:rPr>
          <w:szCs w:val="17"/>
          <w:shd w:val="clear" w:color="auto" w:fill="FFFFFF"/>
        </w:rPr>
        <w:t>It is true that a defendant</w:t>
      </w:r>
      <w:r w:rsidRPr="006A612F">
        <w:rPr>
          <w:szCs w:val="17"/>
          <w:shd w:val="clear" w:color="auto" w:fill="FFFFFF"/>
        </w:rPr>
        <w:t>’</w:t>
      </w:r>
      <w:r w:rsidR="00315997" w:rsidRPr="006A612F">
        <w:rPr>
          <w:szCs w:val="17"/>
          <w:shd w:val="clear" w:color="auto" w:fill="FFFFFF"/>
        </w:rPr>
        <w:t>s direct personal responsibility for the claimed deprivation of a constitutional right must be established in order for liability to arise under 42 U.S.C. § 1983.</w:t>
      </w:r>
      <w:r w:rsidRPr="006A612F">
        <w:rPr>
          <w:szCs w:val="17"/>
          <w:shd w:val="clear" w:color="auto" w:fill="FFFFFF"/>
        </w:rPr>
        <w:t>”</w:t>
      </w:r>
      <w:r w:rsidR="00315997" w:rsidRPr="006A612F">
        <w:rPr>
          <w:szCs w:val="17"/>
          <w:shd w:val="clear" w:color="auto" w:fill="FFFFFF"/>
        </w:rPr>
        <w:t xml:space="preserve">); </w:t>
      </w:r>
      <w:r w:rsidR="00315997" w:rsidRPr="006A612F">
        <w:rPr>
          <w:szCs w:val="17"/>
        </w:rPr>
        <w:t>McKinnon v. Patterson, 568 F.2d 930, 934 (2d Cir. 1977) (</w:t>
      </w:r>
      <w:r w:rsidRPr="006A612F">
        <w:rPr>
          <w:szCs w:val="17"/>
        </w:rPr>
        <w:t>“</w:t>
      </w:r>
      <w:r w:rsidR="00315997" w:rsidRPr="006A612F">
        <w:rPr>
          <w:szCs w:val="17"/>
          <w:shd w:val="clear" w:color="auto" w:fill="FFFFFF"/>
        </w:rPr>
        <w:t>In this Circuit personal involvement of defendants in alleged constitutional deprivations is a prerequisite to an award of damages under § 1983.</w:t>
      </w:r>
      <w:r w:rsidRPr="006A612F">
        <w:rPr>
          <w:szCs w:val="17"/>
          <w:shd w:val="clear" w:color="auto" w:fill="FFFFFF"/>
        </w:rPr>
        <w:t>”</w:t>
      </w:r>
      <w:r w:rsidR="00315997" w:rsidRPr="006A612F">
        <w:rPr>
          <w:szCs w:val="17"/>
          <w:shd w:val="clear" w:color="auto" w:fill="FFFFFF"/>
        </w:rPr>
        <w:t xml:space="preserve">); </w:t>
      </w:r>
      <w:r w:rsidR="00315997" w:rsidRPr="006A612F">
        <w:rPr>
          <w:szCs w:val="17"/>
        </w:rPr>
        <w:t>O</w:t>
      </w:r>
      <w:r w:rsidRPr="006A612F">
        <w:rPr>
          <w:szCs w:val="17"/>
        </w:rPr>
        <w:t>’</w:t>
      </w:r>
      <w:r w:rsidR="00315997" w:rsidRPr="006A612F">
        <w:rPr>
          <w:szCs w:val="17"/>
        </w:rPr>
        <w:t>Neill v. Krzeminski, 839 F.2d 9, 11 (2d Cir. 1988) (</w:t>
      </w:r>
      <w:r w:rsidRPr="006A612F">
        <w:rPr>
          <w:szCs w:val="17"/>
        </w:rPr>
        <w:t>“</w:t>
      </w:r>
      <w:r w:rsidR="00315997" w:rsidRPr="006A612F">
        <w:rPr>
          <w:szCs w:val="17"/>
          <w:shd w:val="clear" w:color="auto" w:fill="FFFFFF"/>
        </w:rPr>
        <w:t>A law enforcement officer has an affirmative duty to intercede on the behalf of a citizen whose constitutional rights are being violated in his presence by other officers.</w:t>
      </w:r>
      <w:r w:rsidRPr="006A612F">
        <w:rPr>
          <w:szCs w:val="17"/>
          <w:shd w:val="clear" w:color="auto" w:fill="FFFFFF"/>
        </w:rPr>
        <w:t>”</w:t>
      </w:r>
      <w:r w:rsidR="00315997" w:rsidRPr="006A612F">
        <w:rPr>
          <w:szCs w:val="17"/>
          <w:shd w:val="clear" w:color="auto" w:fill="FFFFFF"/>
        </w:rPr>
        <w:t>)</w:t>
      </w:r>
      <w:r w:rsidR="00315997" w:rsidRPr="006A612F">
        <w:rPr>
          <w:szCs w:val="17"/>
        </w:rPr>
        <w:t>;</w:t>
      </w:r>
      <w:r w:rsidR="00315997" w:rsidRPr="006A612F">
        <w:rPr>
          <w:b/>
          <w:bCs/>
          <w:szCs w:val="17"/>
        </w:rPr>
        <w:t xml:space="preserve"> </w:t>
      </w:r>
      <w:r w:rsidR="00315997" w:rsidRPr="006A612F">
        <w:rPr>
          <w:szCs w:val="17"/>
        </w:rPr>
        <w:t>Jutrowski v. Township of Riverdale</w:t>
      </w:r>
      <w:r w:rsidR="00315997" w:rsidRPr="006A612F">
        <w:rPr>
          <w:iCs/>
          <w:szCs w:val="17"/>
        </w:rPr>
        <w:t>,</w:t>
      </w:r>
      <w:r w:rsidR="00315997" w:rsidRPr="006A612F">
        <w:rPr>
          <w:szCs w:val="17"/>
        </w:rPr>
        <w:t xml:space="preserve"> 904 F.3d 280, 285 (3d Cir. 2018) (requiring § 1983 plaintiffs to prove each defendant</w:t>
      </w:r>
      <w:r w:rsidRPr="006A612F">
        <w:rPr>
          <w:szCs w:val="17"/>
        </w:rPr>
        <w:t>’</w:t>
      </w:r>
      <w:r w:rsidR="00315997" w:rsidRPr="006A612F">
        <w:rPr>
          <w:szCs w:val="17"/>
        </w:rPr>
        <w:t xml:space="preserve">s </w:t>
      </w:r>
      <w:r w:rsidRPr="006A612F">
        <w:rPr>
          <w:szCs w:val="17"/>
        </w:rPr>
        <w:t>“</w:t>
      </w:r>
      <w:r w:rsidR="00315997" w:rsidRPr="006A612F">
        <w:rPr>
          <w:szCs w:val="17"/>
        </w:rPr>
        <w:t>personal involvement</w:t>
      </w:r>
      <w:r w:rsidRPr="006A612F">
        <w:rPr>
          <w:szCs w:val="17"/>
        </w:rPr>
        <w:t>”</w:t>
      </w:r>
      <w:r w:rsidR="00315997" w:rsidRPr="006A612F">
        <w:rPr>
          <w:szCs w:val="17"/>
        </w:rPr>
        <w:t xml:space="preserve"> to establish Fourth Amendment liability); </w:t>
      </w:r>
      <w:r w:rsidR="00315997" w:rsidRPr="006A612F">
        <w:rPr>
          <w:szCs w:val="17"/>
          <w:shd w:val="clear" w:color="auto" w:fill="FFFFFF"/>
        </w:rPr>
        <w:t>Randall v. Prince George</w:t>
      </w:r>
      <w:r w:rsidRPr="006A612F">
        <w:rPr>
          <w:szCs w:val="17"/>
          <w:shd w:val="clear" w:color="auto" w:fill="FFFFFF"/>
        </w:rPr>
        <w:t>’</w:t>
      </w:r>
      <w:r w:rsidR="00315997" w:rsidRPr="006A612F">
        <w:rPr>
          <w:szCs w:val="17"/>
          <w:shd w:val="clear" w:color="auto" w:fill="FFFFFF"/>
        </w:rPr>
        <w:t xml:space="preserve">s County, 302 F.3d 188, 204 (4th Cir. 2002) (requiring personal involvement but recognizing the theory of </w:t>
      </w:r>
      <w:r w:rsidRPr="006A612F">
        <w:rPr>
          <w:szCs w:val="17"/>
          <w:shd w:val="clear" w:color="auto" w:fill="FFFFFF"/>
        </w:rPr>
        <w:t>“</w:t>
      </w:r>
      <w:r w:rsidR="00315997" w:rsidRPr="006A612F">
        <w:rPr>
          <w:szCs w:val="17"/>
          <w:shd w:val="clear" w:color="auto" w:fill="FFFFFF"/>
        </w:rPr>
        <w:t>bystander liability</w:t>
      </w:r>
      <w:r w:rsidRPr="006A612F">
        <w:rPr>
          <w:szCs w:val="17"/>
          <w:shd w:val="clear" w:color="auto" w:fill="FFFFFF"/>
        </w:rPr>
        <w:t>”</w:t>
      </w:r>
      <w:r w:rsidR="00315997" w:rsidRPr="006A612F">
        <w:rPr>
          <w:szCs w:val="17"/>
          <w:shd w:val="clear" w:color="auto" w:fill="FFFFFF"/>
        </w:rPr>
        <w:t xml:space="preserve">); Melear v. Spears, 862 F.2d 1177, 1186 (5th Cir. 1989) (requiring plaintiff to prove that each defendant was an </w:t>
      </w:r>
      <w:r w:rsidRPr="006A612F">
        <w:rPr>
          <w:szCs w:val="17"/>
          <w:shd w:val="clear" w:color="auto" w:fill="FFFFFF"/>
        </w:rPr>
        <w:t>“</w:t>
      </w:r>
      <w:r w:rsidR="00315997" w:rsidRPr="006A612F">
        <w:rPr>
          <w:szCs w:val="17"/>
          <w:shd w:val="clear" w:color="auto" w:fill="FFFFFF"/>
        </w:rPr>
        <w:t>integral participant</w:t>
      </w:r>
      <w:r w:rsidRPr="006A612F">
        <w:rPr>
          <w:szCs w:val="17"/>
          <w:shd w:val="clear" w:color="auto" w:fill="FFFFFF"/>
        </w:rPr>
        <w:t>”</w:t>
      </w:r>
      <w:r w:rsidR="00315997" w:rsidRPr="006A612F">
        <w:rPr>
          <w:szCs w:val="17"/>
          <w:shd w:val="clear" w:color="auto" w:fill="FFFFFF"/>
        </w:rPr>
        <w:t xml:space="preserve">); </w:t>
      </w:r>
      <w:r w:rsidR="00315997" w:rsidRPr="006A612F">
        <w:rPr>
          <w:szCs w:val="17"/>
        </w:rPr>
        <w:t>Grandstaff v. City of Borger</w:t>
      </w:r>
      <w:r w:rsidR="00315997" w:rsidRPr="006A612F">
        <w:rPr>
          <w:iCs/>
          <w:szCs w:val="17"/>
        </w:rPr>
        <w:t>,</w:t>
      </w:r>
      <w:r w:rsidR="00315997" w:rsidRPr="006A612F">
        <w:rPr>
          <w:szCs w:val="17"/>
        </w:rPr>
        <w:t xml:space="preserve"> 767 F.2d 161, 168 (5th Cir. 1985) (holding that when officers act in concert with one another they are jointly and severally liable); </w:t>
      </w:r>
      <w:r w:rsidR="00315997" w:rsidRPr="006A612F">
        <w:rPr>
          <w:szCs w:val="17"/>
          <w:shd w:val="clear" w:color="auto" w:fill="FFFFFF"/>
        </w:rPr>
        <w:t>Binay v. Bettendorf</w:t>
      </w:r>
      <w:r w:rsidR="00315997" w:rsidRPr="006A612F">
        <w:rPr>
          <w:iCs/>
          <w:szCs w:val="17"/>
          <w:shd w:val="clear" w:color="auto" w:fill="FFFFFF"/>
        </w:rPr>
        <w:t>,</w:t>
      </w:r>
      <w:r w:rsidR="00315997" w:rsidRPr="006A612F">
        <w:rPr>
          <w:szCs w:val="17"/>
          <w:shd w:val="clear" w:color="auto" w:fill="FFFFFF"/>
        </w:rPr>
        <w:t xml:space="preserve"> 601 F.3d 640, 650 (6th Cir. 2010) (requiring a § 1983 plaintiff to prove that the defendant was not only present when the injury occurred but was also personally responsible for the injury); </w:t>
      </w:r>
      <w:r w:rsidR="00315997" w:rsidRPr="006A612F">
        <w:rPr>
          <w:szCs w:val="17"/>
        </w:rPr>
        <w:t xml:space="preserve">Colbert v. City of Chicago, 851 F.3d 649, 657 (7th Cir. 2017) (holding that </w:t>
      </w:r>
      <w:r w:rsidRPr="006A612F">
        <w:rPr>
          <w:szCs w:val="17"/>
        </w:rPr>
        <w:t>“</w:t>
      </w:r>
      <w:r w:rsidR="00315997" w:rsidRPr="006A612F">
        <w:rPr>
          <w:szCs w:val="17"/>
        </w:rPr>
        <w:t>i</w:t>
      </w:r>
      <w:r w:rsidR="00315997" w:rsidRPr="006A612F">
        <w:rPr>
          <w:szCs w:val="17"/>
          <w:shd w:val="clear" w:color="auto" w:fill="FFFFFF"/>
        </w:rPr>
        <w:t xml:space="preserve">ndividual liability under § 1983 </w:t>
      </w:r>
      <w:r w:rsidRPr="006A612F">
        <w:rPr>
          <w:szCs w:val="17"/>
          <w:shd w:val="clear" w:color="auto" w:fill="FFFFFF"/>
        </w:rPr>
        <w:t>. . .</w:t>
      </w:r>
      <w:r w:rsidR="00315997" w:rsidRPr="006A612F">
        <w:rPr>
          <w:szCs w:val="17"/>
          <w:shd w:val="clear" w:color="auto" w:fill="FFFFFF"/>
        </w:rPr>
        <w:t xml:space="preserve"> requires personal involvement in the alleged constitutional deprivation</w:t>
      </w:r>
      <w:r w:rsidRPr="006A612F">
        <w:rPr>
          <w:szCs w:val="17"/>
          <w:shd w:val="clear" w:color="auto" w:fill="FFFFFF"/>
        </w:rPr>
        <w:t>”</w:t>
      </w:r>
      <w:r w:rsidR="00315997" w:rsidRPr="006A612F">
        <w:rPr>
          <w:szCs w:val="17"/>
          <w:shd w:val="clear" w:color="auto" w:fill="FFFFFF"/>
        </w:rPr>
        <w:t xml:space="preserve">); </w:t>
      </w:r>
      <w:r w:rsidR="00315997" w:rsidRPr="006A612F">
        <w:rPr>
          <w:szCs w:val="17"/>
        </w:rPr>
        <w:t>Jackson v. Nixon, 747 F.3d 537, 543 (8th Cir. 2014) (</w:t>
      </w:r>
      <w:r w:rsidRPr="006A612F">
        <w:rPr>
          <w:szCs w:val="17"/>
        </w:rPr>
        <w:t>“</w:t>
      </w:r>
      <w:r w:rsidR="00315997" w:rsidRPr="006A612F">
        <w:rPr>
          <w:szCs w:val="17"/>
        </w:rPr>
        <w:t>T</w:t>
      </w:r>
      <w:r w:rsidR="00315997" w:rsidRPr="006A612F">
        <w:rPr>
          <w:szCs w:val="17"/>
          <w:shd w:val="clear" w:color="auto" w:fill="FFFFFF"/>
        </w:rPr>
        <w:t>o state a claim under § 1983, the plaintiff must plead that a government official has personally violated the plaintiff</w:t>
      </w:r>
      <w:r w:rsidRPr="006A612F">
        <w:rPr>
          <w:szCs w:val="17"/>
          <w:shd w:val="clear" w:color="auto" w:fill="FFFFFF"/>
        </w:rPr>
        <w:t>’</w:t>
      </w:r>
      <w:r w:rsidR="00315997" w:rsidRPr="006A612F">
        <w:rPr>
          <w:szCs w:val="17"/>
          <w:shd w:val="clear" w:color="auto" w:fill="FFFFFF"/>
        </w:rPr>
        <w:t>s constitutional rights.</w:t>
      </w:r>
      <w:r w:rsidRPr="006A612F">
        <w:rPr>
          <w:szCs w:val="17"/>
          <w:shd w:val="clear" w:color="auto" w:fill="FFFFFF"/>
        </w:rPr>
        <w:t>”</w:t>
      </w:r>
      <w:r w:rsidR="00315997" w:rsidRPr="006A612F">
        <w:rPr>
          <w:szCs w:val="17"/>
          <w:shd w:val="clear" w:color="auto" w:fill="FFFFFF"/>
        </w:rPr>
        <w:t xml:space="preserve">); </w:t>
      </w:r>
      <w:r w:rsidR="00315997" w:rsidRPr="006A612F">
        <w:rPr>
          <w:szCs w:val="17"/>
        </w:rPr>
        <w:t>Jones v. Williams, 297 F.3d 930, 936 (9th Cir. 2002) (affirming the district court</w:t>
      </w:r>
      <w:r w:rsidRPr="006A612F">
        <w:rPr>
          <w:szCs w:val="17"/>
        </w:rPr>
        <w:t>’</w:t>
      </w:r>
      <w:r w:rsidR="00315997" w:rsidRPr="006A612F">
        <w:rPr>
          <w:szCs w:val="17"/>
        </w:rPr>
        <w:t xml:space="preserve">s refusal to instruct the jury on theory of </w:t>
      </w:r>
      <w:r w:rsidRPr="006A612F">
        <w:rPr>
          <w:szCs w:val="17"/>
        </w:rPr>
        <w:t>“</w:t>
      </w:r>
      <w:r w:rsidR="00315997" w:rsidRPr="006A612F">
        <w:rPr>
          <w:szCs w:val="17"/>
        </w:rPr>
        <w:t>group responsibility</w:t>
      </w:r>
      <w:r w:rsidRPr="006A612F">
        <w:rPr>
          <w:szCs w:val="17"/>
        </w:rPr>
        <w:t>”</w:t>
      </w:r>
      <w:r w:rsidR="00315997" w:rsidRPr="006A612F">
        <w:rPr>
          <w:szCs w:val="17"/>
        </w:rPr>
        <w:t xml:space="preserve"> and holding that individual liability requires that a defendant be an </w:t>
      </w:r>
      <w:r w:rsidRPr="006A612F">
        <w:rPr>
          <w:szCs w:val="17"/>
        </w:rPr>
        <w:t>“</w:t>
      </w:r>
      <w:r w:rsidR="00315997" w:rsidRPr="006A612F">
        <w:rPr>
          <w:szCs w:val="17"/>
        </w:rPr>
        <w:t>integral participant[] in the alleged unlawful act</w:t>
      </w:r>
      <w:r w:rsidRPr="006A612F">
        <w:rPr>
          <w:szCs w:val="17"/>
        </w:rPr>
        <w:t>”</w:t>
      </w:r>
      <w:r w:rsidR="00315997" w:rsidRPr="006A612F">
        <w:rPr>
          <w:szCs w:val="17"/>
        </w:rPr>
        <w:t xml:space="preserve"> and </w:t>
      </w:r>
      <w:r w:rsidRPr="006A612F">
        <w:rPr>
          <w:szCs w:val="17"/>
        </w:rPr>
        <w:t>“</w:t>
      </w:r>
      <w:r w:rsidR="00315997" w:rsidRPr="006A612F">
        <w:rPr>
          <w:szCs w:val="17"/>
        </w:rPr>
        <w:t>not simply present</w:t>
      </w:r>
      <w:r w:rsidRPr="006A612F">
        <w:rPr>
          <w:szCs w:val="17"/>
        </w:rPr>
        <w:t>”</w:t>
      </w:r>
      <w:r w:rsidR="00315997" w:rsidRPr="006A612F">
        <w:rPr>
          <w:szCs w:val="17"/>
        </w:rPr>
        <w:t xml:space="preserve"> at the scene); Coleman v. Turpen</w:t>
      </w:r>
      <w:r w:rsidR="00315997" w:rsidRPr="006A612F">
        <w:rPr>
          <w:i/>
          <w:szCs w:val="17"/>
        </w:rPr>
        <w:t>,</w:t>
      </w:r>
      <w:r w:rsidR="00315997" w:rsidRPr="006A612F">
        <w:rPr>
          <w:szCs w:val="17"/>
          <w:shd w:val="clear" w:color="auto" w:fill="FFFFFF"/>
        </w:rPr>
        <w:t> 697 F.2d 1341, 1346 n.7 (10th Cir. 1982) (holding a defendant cannot be liable under</w:t>
      </w:r>
      <w:r w:rsidR="0091191F" w:rsidRPr="006A612F">
        <w:rPr>
          <w:szCs w:val="17"/>
          <w:shd w:val="clear" w:color="auto" w:fill="FFFFFF"/>
        </w:rPr>
        <w:t xml:space="preserve"> </w:t>
      </w:r>
      <w:r w:rsidR="00315997" w:rsidRPr="006A612F">
        <w:rPr>
          <w:szCs w:val="17"/>
          <w:shd w:val="clear" w:color="auto" w:fill="FFFFFF"/>
        </w:rPr>
        <w:t>§</w:t>
      </w:r>
      <w:r w:rsidR="0091191F" w:rsidRPr="006A612F">
        <w:rPr>
          <w:szCs w:val="17"/>
          <w:shd w:val="clear" w:color="auto" w:fill="FFFFFF"/>
        </w:rPr>
        <w:t> </w:t>
      </w:r>
      <w:r w:rsidR="00315997" w:rsidRPr="006A612F">
        <w:rPr>
          <w:szCs w:val="17"/>
          <w:shd w:val="clear" w:color="auto" w:fill="FFFFFF"/>
        </w:rPr>
        <w:t>1983 without personal involvement in the deprivation); Trujillo v. Williams, 465 F.3d 1210, 1227 (10th Cir. 2006) (</w:t>
      </w:r>
      <w:r w:rsidRPr="006A612F">
        <w:rPr>
          <w:szCs w:val="17"/>
          <w:shd w:val="clear" w:color="auto" w:fill="FFFFFF"/>
        </w:rPr>
        <w:t>“</w:t>
      </w:r>
      <w:r w:rsidR="00315997" w:rsidRPr="006A612F">
        <w:rPr>
          <w:szCs w:val="17"/>
          <w:shd w:val="clear" w:color="auto" w:fill="FFFFFF"/>
        </w:rPr>
        <w:t>In order for liability to arise under</w:t>
      </w:r>
      <w:r w:rsidR="0091191F" w:rsidRPr="006A612F">
        <w:rPr>
          <w:szCs w:val="17"/>
          <w:shd w:val="clear" w:color="auto" w:fill="FFFFFF"/>
        </w:rPr>
        <w:t xml:space="preserve"> </w:t>
      </w:r>
      <w:r w:rsidR="00315997" w:rsidRPr="006A612F">
        <w:rPr>
          <w:szCs w:val="17"/>
          <w:shd w:val="clear" w:color="auto" w:fill="FFFFFF"/>
        </w:rPr>
        <w:t>§</w:t>
      </w:r>
      <w:r w:rsidR="0091191F" w:rsidRPr="006A612F">
        <w:rPr>
          <w:szCs w:val="17"/>
          <w:shd w:val="clear" w:color="auto" w:fill="FFFFFF"/>
        </w:rPr>
        <w:t> </w:t>
      </w:r>
      <w:r w:rsidR="00315997" w:rsidRPr="006A612F">
        <w:rPr>
          <w:szCs w:val="17"/>
          <w:shd w:val="clear" w:color="auto" w:fill="FFFFFF"/>
        </w:rPr>
        <w:t>1983, a defendant</w:t>
      </w:r>
      <w:r w:rsidRPr="006A612F">
        <w:rPr>
          <w:szCs w:val="17"/>
          <w:shd w:val="clear" w:color="auto" w:fill="FFFFFF"/>
        </w:rPr>
        <w:t>’</w:t>
      </w:r>
      <w:r w:rsidR="00315997" w:rsidRPr="006A612F">
        <w:rPr>
          <w:szCs w:val="17"/>
          <w:shd w:val="clear" w:color="auto" w:fill="FFFFFF"/>
        </w:rPr>
        <w:t>s direct personal responsibility for the claimed deprivation of a constitutional right must be established.</w:t>
      </w:r>
      <w:r w:rsidRPr="006A612F">
        <w:rPr>
          <w:szCs w:val="17"/>
          <w:shd w:val="clear" w:color="auto" w:fill="FFFFFF"/>
        </w:rPr>
        <w:t>”</w:t>
      </w:r>
      <w:r w:rsidR="00315997" w:rsidRPr="006A612F">
        <w:rPr>
          <w:szCs w:val="17"/>
          <w:shd w:val="clear" w:color="auto" w:fill="FFFFFF"/>
        </w:rPr>
        <w:t>)</w:t>
      </w:r>
      <w:r w:rsidR="00315997" w:rsidRPr="006A612F">
        <w:rPr>
          <w:szCs w:val="17"/>
        </w:rPr>
        <w:t xml:space="preserve">; Elkins v. District of Columbia, 610 F. Supp. 2d 52, 64 (D.C Cir. 2009) (stating that to find a supervisor liable under § 1983, </w:t>
      </w:r>
      <w:r w:rsidRPr="006A612F">
        <w:rPr>
          <w:szCs w:val="17"/>
        </w:rPr>
        <w:t>“</w:t>
      </w:r>
      <w:r w:rsidR="00315997" w:rsidRPr="006A612F">
        <w:rPr>
          <w:szCs w:val="17"/>
        </w:rPr>
        <w:t>[t]he supervisor must know about the conduct and facilitate, approve, or condone it</w:t>
      </w:r>
      <w:r w:rsidRPr="006A612F">
        <w:rPr>
          <w:szCs w:val="17"/>
        </w:rPr>
        <w:t>”</w:t>
      </w:r>
      <w:r w:rsidR="00315997" w:rsidRPr="006A612F">
        <w:rPr>
          <w:szCs w:val="17"/>
        </w:rPr>
        <w:t>).</w:t>
      </w:r>
    </w:p>
  </w:footnote>
  <w:footnote w:id="124">
    <w:p w14:paraId="669C4937" w14:textId="43823590" w:rsidR="00315997" w:rsidRPr="006A612F" w:rsidRDefault="00BF278E" w:rsidP="00AA6ED0">
      <w:pPr>
        <w:pStyle w:val="FootNote"/>
        <w:spacing w:line="240" w:lineRule="auto"/>
      </w:pPr>
      <w:r w:rsidRPr="006A612F">
        <w:fldChar w:fldCharType="begin"/>
      </w:r>
      <w:r w:rsidRPr="006A612F">
        <w:instrText xml:space="preserve"> ADVANCE \r12 \* MERGEFORMAT </w:instrText>
      </w:r>
      <w:r w:rsidRPr="006A612F">
        <w:fldChar w:fldCharType="end"/>
      </w:r>
      <w:r w:rsidR="00315997" w:rsidRPr="00732F34">
        <w:rPr>
          <w:rStyle w:val="NoterefInNote"/>
        </w:rPr>
        <w:footnoteRef/>
      </w:r>
      <w:r w:rsidRPr="00732F34">
        <w:t>.</w:t>
      </w:r>
      <w:r w:rsidRPr="006A612F">
        <w:fldChar w:fldCharType="begin"/>
      </w:r>
      <w:r w:rsidRPr="006A612F">
        <w:instrText xml:space="preserve"> ADVANCE \r4 \* MERGEFORMAT </w:instrText>
      </w:r>
      <w:r w:rsidRPr="006A612F">
        <w:fldChar w:fldCharType="end"/>
      </w:r>
      <w:r w:rsidR="00315997" w:rsidRPr="006A612F">
        <w:t>904 F.3d 280 (3d Cir. 2018).</w:t>
      </w:r>
    </w:p>
  </w:footnote>
  <w:footnote w:id="125">
    <w:p w14:paraId="6ED6A7E7" w14:textId="7E06364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280 (finding no personal responsibility for the police defendants after one of them kicked the plaintiff in the face while they were arresting him when the plaintiff was unable to identify which of the four officers on the scene inflicted the blow).</w:t>
      </w:r>
    </w:p>
  </w:footnote>
  <w:footnote w:id="126">
    <w:p w14:paraId="257E058C" w14:textId="26EB589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291.</w:t>
      </w:r>
    </w:p>
  </w:footnote>
  <w:footnote w:id="127">
    <w:p w14:paraId="6EA78135" w14:textId="0B78672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291–92.</w:t>
      </w:r>
    </w:p>
  </w:footnote>
  <w:footnote w:id="128">
    <w:p w14:paraId="11D864E7" w14:textId="701097CD" w:rsidR="00315997" w:rsidRPr="006A612F"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293 F.3d 641 (3d Cir. 2002).</w:t>
      </w:r>
    </w:p>
  </w:footnote>
  <w:footnote w:id="129">
    <w:p w14:paraId="2B14B4AF" w14:textId="530CCF97" w:rsidR="00315997" w:rsidRPr="006A612F" w:rsidRDefault="00BF278E" w:rsidP="00AA6ED0">
      <w:pPr>
        <w:pStyle w:val="FootNote"/>
        <w:spacing w:line="240" w:lineRule="auto"/>
        <w:rPr>
          <w:b/>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646.</w:t>
      </w:r>
    </w:p>
  </w:footnote>
  <w:footnote w:id="130">
    <w:p w14:paraId="10E38319" w14:textId="739F6AB9" w:rsidR="00315997" w:rsidRPr="006A612F" w:rsidRDefault="00BF278E" w:rsidP="00AA6ED0">
      <w:pPr>
        <w:pStyle w:val="FootNote"/>
        <w:spacing w:line="240" w:lineRule="auto"/>
        <w:rPr>
          <w:b/>
          <w:bCs/>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Jutrowski</w:t>
      </w:r>
      <w:r w:rsidR="00315997" w:rsidRPr="006A612F">
        <w:rPr>
          <w:szCs w:val="17"/>
        </w:rPr>
        <w:t>, 904 F.3d at 291, 293.</w:t>
      </w:r>
    </w:p>
  </w:footnote>
  <w:footnote w:id="131">
    <w:p w14:paraId="54645CBD" w14:textId="0A0E3CB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Ashcroft v. Iqbal, 556 U.S 662, 666 (2009).</w:t>
      </w:r>
    </w:p>
  </w:footnote>
  <w:footnote w:id="132">
    <w:p w14:paraId="29469D39" w14:textId="01F456AA"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133">
    <w:p w14:paraId="150A5007" w14:textId="312DBAB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668.</w:t>
      </w:r>
    </w:p>
  </w:footnote>
  <w:footnote w:id="134">
    <w:p w14:paraId="47ACD87C" w14:textId="7BBF3B7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669 (internal quotation marks omitted).</w:t>
      </w:r>
    </w:p>
  </w:footnote>
  <w:footnote w:id="135">
    <w:p w14:paraId="4CF9F2E0" w14:textId="72670F3E"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(citations omitted).</w:t>
      </w:r>
    </w:p>
  </w:footnote>
  <w:footnote w:id="136">
    <w:p w14:paraId="2BE74F72" w14:textId="15F41B0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689 (citing Petition for a Writ of Certiorari at I, Ashcroft v. Iqbal, 556 U.S. 662 (2009) (No. 07-1015)). Specifically, they asked the Court to consider the following question: </w:t>
      </w:r>
      <w:r w:rsidRPr="006A612F">
        <w:rPr>
          <w:szCs w:val="17"/>
        </w:rPr>
        <w:t>“</w:t>
      </w:r>
      <w:r w:rsidR="00315997" w:rsidRPr="006A612F">
        <w:rPr>
          <w:szCs w:val="17"/>
        </w:rPr>
        <w:t>Whether a cabinet-level officer or other high-ranking official may be held personally liable for the allegedly unconstitutional acts of subordinate officials on the ground that, as high-level supervisors, they had constructive notice of the discrimination allegedly carried out by such subordinate officials.</w:t>
      </w:r>
      <w:r w:rsidRPr="006A612F">
        <w:rPr>
          <w:szCs w:val="17"/>
        </w:rPr>
        <w:t>”</w:t>
      </w:r>
      <w:r w:rsidR="00315997" w:rsidRPr="006A612F">
        <w:rPr>
          <w:szCs w:val="17"/>
        </w:rPr>
        <w:t xml:space="preserve"> Petition for a Writ of Certiorari, </w:t>
      </w:r>
      <w:r w:rsidR="00315997" w:rsidRPr="006A612F">
        <w:rPr>
          <w:i/>
          <w:iCs/>
          <w:szCs w:val="17"/>
        </w:rPr>
        <w:t>supra</w:t>
      </w:r>
      <w:r w:rsidR="00315997" w:rsidRPr="006A612F">
        <w:rPr>
          <w:szCs w:val="17"/>
        </w:rPr>
        <w:t>, at I.</w:t>
      </w:r>
    </w:p>
  </w:footnote>
  <w:footnote w:id="137">
    <w:p w14:paraId="63DF9A9C" w14:textId="054B112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e.g.</w:t>
      </w:r>
      <w:r w:rsidR="00315997" w:rsidRPr="006A612F">
        <w:rPr>
          <w:szCs w:val="17"/>
        </w:rPr>
        <w:t xml:space="preserve">, </w:t>
      </w:r>
      <w:r w:rsidR="00315997" w:rsidRPr="006A612F">
        <w:rPr>
          <w:i/>
          <w:iCs/>
          <w:szCs w:val="17"/>
        </w:rPr>
        <w:t>Iqbal</w:t>
      </w:r>
      <w:r w:rsidR="00315997" w:rsidRPr="006A612F">
        <w:rPr>
          <w:szCs w:val="17"/>
        </w:rPr>
        <w:t xml:space="preserve">, 556 U.S. at 683 (finding that petitioners could not be held liable under respondeat superior unless they acted on account of a constitutionally protected characteristic); Morgan v. Dzurenda, 956 F.3d. 84, 89 (2d Cir. 2020) (stating that, generally, </w:t>
      </w:r>
      <w:r w:rsidRPr="006A612F">
        <w:rPr>
          <w:szCs w:val="17"/>
        </w:rPr>
        <w:t>“</w:t>
      </w:r>
      <w:r w:rsidR="00315997" w:rsidRPr="006A612F">
        <w:rPr>
          <w:szCs w:val="17"/>
        </w:rPr>
        <w:t xml:space="preserve">[g]overnment officials may not be held liable for the unconstitutional conduct of their subordinates under a theory of </w:t>
      </w:r>
      <w:r w:rsidR="00315997" w:rsidRPr="006A612F">
        <w:rPr>
          <w:i/>
          <w:iCs/>
          <w:szCs w:val="17"/>
        </w:rPr>
        <w:t>respondeat superior</w:t>
      </w:r>
      <w:r w:rsidRPr="006A612F">
        <w:rPr>
          <w:szCs w:val="17"/>
        </w:rPr>
        <w:t>”</w:t>
      </w:r>
      <w:r w:rsidR="00315997" w:rsidRPr="006A612F">
        <w:rPr>
          <w:szCs w:val="17"/>
        </w:rPr>
        <w:t xml:space="preserve">); </w:t>
      </w:r>
      <w:r w:rsidR="00315997" w:rsidRPr="006A612F">
        <w:rPr>
          <w:iCs/>
          <w:szCs w:val="17"/>
        </w:rPr>
        <w:t>Briscoe v. County of St. Louis</w:t>
      </w:r>
      <w:r w:rsidR="00315997" w:rsidRPr="006A612F">
        <w:rPr>
          <w:i/>
          <w:iCs/>
          <w:szCs w:val="17"/>
        </w:rPr>
        <w:t>,</w:t>
      </w:r>
      <w:r w:rsidR="00315997" w:rsidRPr="006A612F">
        <w:rPr>
          <w:szCs w:val="17"/>
        </w:rPr>
        <w:t xml:space="preserve"> 690 F.3d 1004, 1011 (8th Cir. 2012) (stating that </w:t>
      </w:r>
      <w:r w:rsidRPr="006A612F">
        <w:rPr>
          <w:szCs w:val="17"/>
        </w:rPr>
        <w:t>“</w:t>
      </w:r>
      <w:r w:rsidR="00315997" w:rsidRPr="006A612F">
        <w:rPr>
          <w:szCs w:val="17"/>
        </w:rPr>
        <w:t xml:space="preserve">[i]n a </w:t>
      </w:r>
      <w:hyperlink r:id="rId4">
        <w:r w:rsidR="00315997" w:rsidRPr="006A612F">
          <w:rPr>
            <w:szCs w:val="17"/>
          </w:rPr>
          <w:t>§ 1983</w:t>
        </w:r>
      </w:hyperlink>
      <w:r w:rsidR="00315997" w:rsidRPr="006A612F">
        <w:rPr>
          <w:szCs w:val="17"/>
        </w:rPr>
        <w:t xml:space="preserve"> case an official is only liable for his own misconduct and is not </w:t>
      </w:r>
      <w:r w:rsidRPr="006A612F">
        <w:rPr>
          <w:szCs w:val="17"/>
        </w:rPr>
        <w:t>‘</w:t>
      </w:r>
      <w:r w:rsidR="00315997" w:rsidRPr="006A612F">
        <w:rPr>
          <w:szCs w:val="17"/>
        </w:rPr>
        <w:t>accountable for the misdeeds of his agents</w:t>
      </w:r>
      <w:r w:rsidRPr="006A612F">
        <w:rPr>
          <w:szCs w:val="17"/>
        </w:rPr>
        <w:t>’</w:t>
      </w:r>
      <w:r w:rsidR="00315997" w:rsidRPr="006A612F">
        <w:rPr>
          <w:szCs w:val="17"/>
        </w:rPr>
        <w:t xml:space="preserve"> under a theory such as respondeat superior or supervisor liability</w:t>
      </w:r>
      <w:r w:rsidRPr="006A612F">
        <w:rPr>
          <w:szCs w:val="17"/>
        </w:rPr>
        <w:t>”</w:t>
      </w:r>
      <w:r w:rsidR="00315997" w:rsidRPr="006A612F">
        <w:rPr>
          <w:szCs w:val="17"/>
        </w:rPr>
        <w:t xml:space="preserve"> (quoting Nelson v. Correctional Med. Servs., 583 F.3d 522, 534–35 (8th Cir. 2009))).</w:t>
      </w:r>
    </w:p>
  </w:footnote>
  <w:footnote w:id="138">
    <w:p w14:paraId="143B367B" w14:textId="0E409A02"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Brown v. Crawford, 906 F.2d 667, 671 (11th Cir. 1990) (</w:t>
      </w:r>
      <w:r w:rsidRPr="006A612F">
        <w:rPr>
          <w:szCs w:val="17"/>
        </w:rPr>
        <w:t>“</w:t>
      </w:r>
      <w:r w:rsidR="00315997" w:rsidRPr="006A612F">
        <w:rPr>
          <w:szCs w:val="17"/>
          <w:shd w:val="clear" w:color="auto" w:fill="FFFFFF"/>
        </w:rPr>
        <w:t>The causal connection can be established when a history of widespread abuse puts the responsible supervisor on notice of the need to correct the alleged deprivation, and he fails to do so.</w:t>
      </w:r>
      <w:r w:rsidRPr="006A612F">
        <w:rPr>
          <w:szCs w:val="17"/>
          <w:shd w:val="clear" w:color="auto" w:fill="FFFFFF"/>
        </w:rPr>
        <w:t>”</w:t>
      </w:r>
      <w:r w:rsidR="00315997" w:rsidRPr="006A612F">
        <w:rPr>
          <w:szCs w:val="17"/>
          <w:shd w:val="clear" w:color="auto" w:fill="FFFFFF"/>
        </w:rPr>
        <w:t>).</w:t>
      </w:r>
    </w:p>
  </w:footnote>
  <w:footnote w:id="139">
    <w:p w14:paraId="3EA5BE10" w14:textId="11D5204E"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Ybarra v. Reno Thunderbird Mobile Home Vill., 723 F.2d 675, 680 (9th Cir. 1984) (stating that respondeat superior liability arises only if the defendant personally participated in the violation some way).</w:t>
      </w:r>
    </w:p>
  </w:footnote>
  <w:footnote w:id="140">
    <w:p w14:paraId="77793A2F" w14:textId="680484CF" w:rsidR="00315997" w:rsidRPr="006A612F" w:rsidRDefault="00BF278E" w:rsidP="00AA6ED0">
      <w:pPr>
        <w:pStyle w:val="FootNote"/>
        <w:spacing w:line="240" w:lineRule="auto"/>
        <w:rPr>
          <w:color w:val="3D3D3D"/>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Jetter v. Beard, 183 F. App</w:t>
      </w:r>
      <w:r w:rsidRPr="006A612F">
        <w:rPr>
          <w:szCs w:val="17"/>
        </w:rPr>
        <w:t>’</w:t>
      </w:r>
      <w:r w:rsidR="00315997" w:rsidRPr="006A612F">
        <w:rPr>
          <w:szCs w:val="17"/>
        </w:rPr>
        <w:t>x 178, 181 (3d Cir. 2006) (</w:t>
      </w:r>
      <w:r w:rsidRPr="006A612F">
        <w:rPr>
          <w:szCs w:val="17"/>
        </w:rPr>
        <w:t>“</w:t>
      </w:r>
      <w:r w:rsidR="00315997" w:rsidRPr="006A612F">
        <w:rPr>
          <w:szCs w:val="17"/>
        </w:rPr>
        <w:t>Personal involvement must be alleged and is only present where the supervisor directed the actions of supervisees or actually knew of the actions and acquiesced in them.</w:t>
      </w:r>
      <w:r w:rsidRPr="006A612F">
        <w:rPr>
          <w:szCs w:val="17"/>
        </w:rPr>
        <w:t>”</w:t>
      </w:r>
      <w:r w:rsidR="00315997" w:rsidRPr="006A612F">
        <w:rPr>
          <w:szCs w:val="17"/>
        </w:rPr>
        <w:t>).</w:t>
      </w:r>
    </w:p>
  </w:footnote>
  <w:footnote w:id="141">
    <w:p w14:paraId="00BA1D22" w14:textId="27C10251" w:rsidR="00315997" w:rsidRPr="006A612F" w:rsidRDefault="00BF278E" w:rsidP="00AA6ED0">
      <w:pPr>
        <w:pStyle w:val="FootNote"/>
        <w:spacing w:line="240" w:lineRule="auto"/>
        <w:rPr>
          <w:szCs w:val="17"/>
        </w:rPr>
      </w:pPr>
      <w:r w:rsidRPr="006A612F">
        <w:rPr>
          <w:i/>
          <w:iCs/>
          <w:szCs w:val="17"/>
          <w:shd w:val="clear" w:color="auto" w:fill="FFFFFF"/>
        </w:rPr>
        <w:fldChar w:fldCharType="begin"/>
      </w:r>
      <w:r w:rsidRPr="006A612F">
        <w:rPr>
          <w:i/>
          <w:iCs/>
          <w:szCs w:val="17"/>
          <w:shd w:val="clear" w:color="auto" w:fill="FFFFFF"/>
        </w:rPr>
        <w:instrText xml:space="preserve"> ADVANCE \r12 \* MERGEFORMAT </w:instrText>
      </w:r>
      <w:r w:rsidRPr="006A612F">
        <w:rPr>
          <w:i/>
          <w:iCs/>
          <w:szCs w:val="17"/>
          <w:shd w:val="clear" w:color="auto" w:fill="FFFFFF"/>
        </w:rPr>
        <w:fldChar w:fldCharType="end"/>
      </w:r>
      <w:r w:rsidR="00315997" w:rsidRPr="00732F34">
        <w:rPr>
          <w:rStyle w:val="NoterefInNote"/>
        </w:rPr>
        <w:footnoteRef/>
      </w:r>
      <w:r w:rsidRPr="00732F34">
        <w:rPr>
          <w:szCs w:val="17"/>
          <w:shd w:val="clear" w:color="auto" w:fill="FFFFFF"/>
        </w:rPr>
        <w:t>.</w:t>
      </w:r>
      <w:r w:rsidRPr="006A612F">
        <w:rPr>
          <w:i/>
          <w:iCs/>
          <w:szCs w:val="17"/>
          <w:shd w:val="clear" w:color="auto" w:fill="FFFFFF"/>
        </w:rPr>
        <w:fldChar w:fldCharType="begin"/>
      </w:r>
      <w:r w:rsidRPr="006A612F">
        <w:rPr>
          <w:i/>
          <w:iCs/>
          <w:szCs w:val="17"/>
          <w:shd w:val="clear" w:color="auto" w:fill="FFFFFF"/>
        </w:rPr>
        <w:instrText xml:space="preserve"> ADVANCE \r4 \* MERGEFORMAT </w:instrText>
      </w:r>
      <w:r w:rsidRPr="006A612F">
        <w:rPr>
          <w:i/>
          <w:iCs/>
          <w:szCs w:val="17"/>
          <w:shd w:val="clear" w:color="auto" w:fill="FFFFFF"/>
        </w:rPr>
        <w:fldChar w:fldCharType="end"/>
      </w:r>
      <w:r w:rsidR="00315997" w:rsidRPr="006A612F">
        <w:rPr>
          <w:i/>
          <w:iCs/>
          <w:szCs w:val="17"/>
          <w:shd w:val="clear" w:color="auto" w:fill="FFFFFF"/>
        </w:rPr>
        <w:t>Iqbal</w:t>
      </w:r>
      <w:r w:rsidR="00315997" w:rsidRPr="006A612F">
        <w:rPr>
          <w:szCs w:val="17"/>
          <w:shd w:val="clear" w:color="auto" w:fill="FFFFFF"/>
        </w:rPr>
        <w:t>, 556 U.S. at 677.</w:t>
      </w:r>
      <w:r w:rsidR="00315997" w:rsidRPr="006A612F">
        <w:rPr>
          <w:color w:val="3D3D3D"/>
          <w:szCs w:val="17"/>
          <w:shd w:val="clear" w:color="auto" w:fill="FFFFFF"/>
        </w:rPr>
        <w:t> </w:t>
      </w:r>
    </w:p>
  </w:footnote>
  <w:footnote w:id="142">
    <w:p w14:paraId="7EFC3ECB" w14:textId="1864BDE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676.</w:t>
      </w:r>
    </w:p>
  </w:footnote>
  <w:footnote w:id="143">
    <w:p w14:paraId="2E0200B6" w14:textId="76B3047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w:t>
      </w:r>
      <w:r w:rsidR="00315997" w:rsidRPr="006A612F">
        <w:rPr>
          <w:i/>
          <w:szCs w:val="17"/>
        </w:rPr>
        <w:t xml:space="preserve"> </w:t>
      </w:r>
      <w:r w:rsidR="00315997" w:rsidRPr="006A612F">
        <w:rPr>
          <w:szCs w:val="17"/>
        </w:rPr>
        <w:t xml:space="preserve">677 (noting that </w:t>
      </w:r>
      <w:r w:rsidRPr="006A612F">
        <w:rPr>
          <w:szCs w:val="17"/>
        </w:rPr>
        <w:t>“</w:t>
      </w:r>
      <w:r w:rsidR="00315997" w:rsidRPr="006A612F">
        <w:rPr>
          <w:szCs w:val="17"/>
          <w:shd w:val="clear" w:color="auto" w:fill="FFFFFF"/>
        </w:rPr>
        <w:t xml:space="preserve">the term </w:t>
      </w:r>
      <w:r w:rsidRPr="006A612F">
        <w:rPr>
          <w:szCs w:val="17"/>
          <w:shd w:val="clear" w:color="auto" w:fill="FFFFFF"/>
        </w:rPr>
        <w:t>‘</w:t>
      </w:r>
      <w:r w:rsidR="00315997" w:rsidRPr="006A612F">
        <w:rPr>
          <w:szCs w:val="17"/>
          <w:shd w:val="clear" w:color="auto" w:fill="FFFFFF"/>
        </w:rPr>
        <w:t>supervisory liability</w:t>
      </w:r>
      <w:r w:rsidRPr="006A612F">
        <w:rPr>
          <w:szCs w:val="17"/>
          <w:shd w:val="clear" w:color="auto" w:fill="FFFFFF"/>
        </w:rPr>
        <w:t>’</w:t>
      </w:r>
      <w:r w:rsidR="00315997" w:rsidRPr="006A612F">
        <w:rPr>
          <w:szCs w:val="17"/>
          <w:shd w:val="clear" w:color="auto" w:fill="FFFFFF"/>
        </w:rPr>
        <w:t xml:space="preserve"> is a misnomer</w:t>
      </w:r>
      <w:r w:rsidRPr="006A612F">
        <w:rPr>
          <w:szCs w:val="17"/>
          <w:shd w:val="clear" w:color="auto" w:fill="FFFFFF"/>
        </w:rPr>
        <w:t>”</w:t>
      </w:r>
      <w:r w:rsidR="00315997" w:rsidRPr="006A612F">
        <w:rPr>
          <w:szCs w:val="17"/>
          <w:shd w:val="clear" w:color="auto" w:fill="FFFFFF"/>
        </w:rPr>
        <w:t xml:space="preserve"> and that </w:t>
      </w:r>
      <w:r w:rsidRPr="006A612F">
        <w:rPr>
          <w:szCs w:val="17"/>
          <w:shd w:val="clear" w:color="auto" w:fill="FFFFFF"/>
        </w:rPr>
        <w:t>“</w:t>
      </w:r>
      <w:r w:rsidR="00315997" w:rsidRPr="006A612F">
        <w:rPr>
          <w:szCs w:val="17"/>
          <w:shd w:val="clear" w:color="auto" w:fill="FFFFFF"/>
        </w:rPr>
        <w:t>each Government official, his or her title notwithstanding, is only liable for his or her own misconduct</w:t>
      </w:r>
      <w:r w:rsidRPr="006A612F">
        <w:rPr>
          <w:szCs w:val="17"/>
          <w:shd w:val="clear" w:color="auto" w:fill="FFFFFF"/>
        </w:rPr>
        <w:t>”</w:t>
      </w:r>
      <w:r w:rsidR="00315997" w:rsidRPr="006A612F">
        <w:rPr>
          <w:szCs w:val="17"/>
          <w:shd w:val="clear" w:color="auto" w:fill="FFFFFF"/>
        </w:rPr>
        <w:t>).</w:t>
      </w:r>
    </w:p>
  </w:footnote>
  <w:footnote w:id="144">
    <w:p w14:paraId="1DE21B03" w14:textId="7B50BAA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Sheldon Nahmod, </w:t>
      </w:r>
      <w:r w:rsidR="00315997" w:rsidRPr="006A612F">
        <w:rPr>
          <w:i/>
          <w:iCs/>
          <w:szCs w:val="17"/>
        </w:rPr>
        <w:t xml:space="preserve">Constitutional Torts, Over-Deterrence and Supervisory Liability after </w:t>
      </w:r>
      <w:r w:rsidR="00315997" w:rsidRPr="006A612F">
        <w:rPr>
          <w:szCs w:val="17"/>
        </w:rPr>
        <w:t xml:space="preserve">Iqbal, </w:t>
      </w:r>
      <w:r w:rsidR="00315997" w:rsidRPr="006A612F">
        <w:rPr>
          <w:smallCaps/>
          <w:szCs w:val="17"/>
        </w:rPr>
        <w:t>14 Lewis &amp; Clark L. Rev.</w:t>
      </w:r>
      <w:r w:rsidR="00315997" w:rsidRPr="006A612F">
        <w:rPr>
          <w:szCs w:val="17"/>
        </w:rPr>
        <w:t xml:space="preserve"> 279, 281 (2010).</w:t>
      </w:r>
    </w:p>
  </w:footnote>
  <w:footnote w:id="145">
    <w:p w14:paraId="06331437" w14:textId="460E0D2F"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282.</w:t>
      </w:r>
    </w:p>
  </w:footnote>
  <w:footnote w:id="146">
    <w:p w14:paraId="709B3873" w14:textId="3791570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Iqbal</w:t>
      </w:r>
      <w:r w:rsidR="00315997" w:rsidRPr="006A612F">
        <w:rPr>
          <w:szCs w:val="17"/>
        </w:rPr>
        <w:t xml:space="preserve">, 556 U.S. at 676. Importantly, the Court does note that </w:t>
      </w:r>
      <w:r w:rsidRPr="006A612F">
        <w:rPr>
          <w:szCs w:val="17"/>
        </w:rPr>
        <w:t>“</w:t>
      </w:r>
      <w:r w:rsidR="00315997" w:rsidRPr="006A612F">
        <w:rPr>
          <w:szCs w:val="17"/>
          <w:shd w:val="clear" w:color="auto" w:fill="FFFFFF"/>
        </w:rPr>
        <w:t>[t]he factors necessary to establish a [civil rights claim] will vary with the constitutional provision at issue.</w:t>
      </w:r>
      <w:r w:rsidRPr="006A612F">
        <w:rPr>
          <w:szCs w:val="17"/>
          <w:shd w:val="clear" w:color="auto" w:fill="FFFFFF"/>
        </w:rPr>
        <w:t>”</w:t>
      </w:r>
      <w:r w:rsidR="00315997" w:rsidRPr="006A612F">
        <w:rPr>
          <w:szCs w:val="17"/>
          <w:shd w:val="clear" w:color="auto" w:fill="FFFFFF"/>
        </w:rPr>
        <w:t xml:space="preserve"> </w:t>
      </w:r>
      <w:r w:rsidR="00315997" w:rsidRPr="0024777B">
        <w:rPr>
          <w:i/>
          <w:szCs w:val="17"/>
          <w:shd w:val="clear" w:color="auto" w:fill="FFFFFF"/>
        </w:rPr>
        <w:t>Id.</w:t>
      </w:r>
    </w:p>
  </w:footnote>
  <w:footnote w:id="147">
    <w:p w14:paraId="0DD19602" w14:textId="30FD206E"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Graham v. Connor, 490 U.S 386, 388 (1989) (stating that claims involving law enforcement officers using excessive force while making an arrest, stop, or seizure are analyzed under the Fourth Amendment</w:t>
      </w:r>
      <w:r w:rsidRPr="006A612F">
        <w:rPr>
          <w:szCs w:val="17"/>
        </w:rPr>
        <w:t>’</w:t>
      </w:r>
      <w:r w:rsidR="00315997" w:rsidRPr="006A612F">
        <w:rPr>
          <w:szCs w:val="17"/>
        </w:rPr>
        <w:t xml:space="preserve">s </w:t>
      </w:r>
      <w:r w:rsidRPr="006A612F">
        <w:rPr>
          <w:szCs w:val="17"/>
        </w:rPr>
        <w:t>“</w:t>
      </w:r>
      <w:r w:rsidR="00315997" w:rsidRPr="006A612F">
        <w:rPr>
          <w:szCs w:val="17"/>
        </w:rPr>
        <w:t>objective reasonableness</w:t>
      </w:r>
      <w:r w:rsidRPr="006A612F">
        <w:rPr>
          <w:szCs w:val="17"/>
        </w:rPr>
        <w:t>”</w:t>
      </w:r>
      <w:r w:rsidR="00315997" w:rsidRPr="006A612F">
        <w:rPr>
          <w:szCs w:val="17"/>
        </w:rPr>
        <w:t xml:space="preserve"> standard, rather than under a substantive due process standard).</w:t>
      </w:r>
    </w:p>
  </w:footnote>
  <w:footnote w:id="148">
    <w:p w14:paraId="5A59F6BC" w14:textId="60D6A31B"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While negligence or unreasonableness is usually not enough to state a constitutional violation, there is no question that the Fourth Amendment is governed by an </w:t>
      </w:r>
      <w:r w:rsidRPr="006A612F">
        <w:rPr>
          <w:szCs w:val="17"/>
        </w:rPr>
        <w:t>“</w:t>
      </w:r>
      <w:r w:rsidR="00315997" w:rsidRPr="006A612F">
        <w:rPr>
          <w:szCs w:val="17"/>
        </w:rPr>
        <w:t>objective reasonableness</w:t>
      </w:r>
      <w:r w:rsidRPr="006A612F">
        <w:rPr>
          <w:szCs w:val="17"/>
        </w:rPr>
        <w:t>”</w:t>
      </w:r>
      <w:r w:rsidR="00315997" w:rsidRPr="006A612F">
        <w:rPr>
          <w:szCs w:val="17"/>
        </w:rPr>
        <w:t xml:space="preserve"> standard. </w:t>
      </w:r>
      <w:r w:rsidR="00315997" w:rsidRPr="0024777B">
        <w:rPr>
          <w:i/>
          <w:szCs w:val="17"/>
        </w:rPr>
        <w:t>Id.</w:t>
      </w:r>
      <w:r w:rsidR="00315997" w:rsidRPr="006A612F">
        <w:rPr>
          <w:szCs w:val="17"/>
        </w:rPr>
        <w:t xml:space="preserve"> This is markedly different from an equal protection violation, which requires proof of discriminatory intent. </w:t>
      </w:r>
      <w:r w:rsidR="00315997" w:rsidRPr="006A612F">
        <w:rPr>
          <w:i/>
          <w:szCs w:val="17"/>
        </w:rPr>
        <w:t>See</w:t>
      </w:r>
      <w:r w:rsidR="00315997" w:rsidRPr="006A612F">
        <w:rPr>
          <w:szCs w:val="17"/>
        </w:rPr>
        <w:t xml:space="preserve"> Rosalie Berger Levinson, </w:t>
      </w:r>
      <w:r w:rsidR="00315997" w:rsidRPr="006A612F">
        <w:rPr>
          <w:i/>
          <w:szCs w:val="17"/>
        </w:rPr>
        <w:t>Who Will Supervise the Supervisors? Establishing Liability for Failure to Train, Supervise, or Discipline Subordinates in a Post-</w:t>
      </w:r>
      <w:r w:rsidR="00315997" w:rsidRPr="006A612F">
        <w:rPr>
          <w:iCs/>
          <w:szCs w:val="17"/>
        </w:rPr>
        <w:t>Iqbal</w:t>
      </w:r>
      <w:r w:rsidRPr="006A612F">
        <w:rPr>
          <w:iCs/>
          <w:szCs w:val="17"/>
        </w:rPr>
        <w:t>‌</w:t>
      </w:r>
      <w:r w:rsidRPr="006A612F">
        <w:rPr>
          <w:i/>
          <w:szCs w:val="17"/>
        </w:rPr>
        <w:t>/</w:t>
      </w:r>
      <w:r w:rsidR="00315997" w:rsidRPr="006A612F">
        <w:rPr>
          <w:iCs/>
          <w:szCs w:val="17"/>
        </w:rPr>
        <w:t>Connick</w:t>
      </w:r>
      <w:r w:rsidR="00315997" w:rsidRPr="006A612F">
        <w:rPr>
          <w:i/>
          <w:szCs w:val="17"/>
        </w:rPr>
        <w:t xml:space="preserve"> World</w:t>
      </w:r>
      <w:r w:rsidR="00315997" w:rsidRPr="006A612F">
        <w:rPr>
          <w:szCs w:val="17"/>
        </w:rPr>
        <w:t xml:space="preserve">, 47 </w:t>
      </w:r>
      <w:r w:rsidR="00315997" w:rsidRPr="006A612F">
        <w:rPr>
          <w:smallCaps/>
          <w:szCs w:val="17"/>
        </w:rPr>
        <w:t>Harv. C.R.-C.L. L. Rev</w:t>
      </w:r>
      <w:r w:rsidR="00315997" w:rsidRPr="006A612F">
        <w:rPr>
          <w:szCs w:val="17"/>
        </w:rPr>
        <w:t xml:space="preserve">. 273, 290 (2012) (noting that many courts have applied the objective reasonableness standard in Fourth Amendment cases and the deliberate indifference standard in Eighth Amendment and substantive due process cases). Professor Levinson has identified several flaws in </w:t>
      </w:r>
      <w:r w:rsidR="00315997" w:rsidRPr="006A612F">
        <w:rPr>
          <w:i/>
          <w:szCs w:val="17"/>
        </w:rPr>
        <w:t>Iqbal</w:t>
      </w:r>
      <w:r w:rsidRPr="006A612F">
        <w:rPr>
          <w:iCs/>
          <w:szCs w:val="17"/>
        </w:rPr>
        <w:t>’</w:t>
      </w:r>
      <w:r w:rsidR="00315997" w:rsidRPr="006A612F">
        <w:rPr>
          <w:iCs/>
          <w:szCs w:val="17"/>
        </w:rPr>
        <w:t>s</w:t>
      </w:r>
      <w:r w:rsidR="00315997" w:rsidRPr="006A612F">
        <w:rPr>
          <w:szCs w:val="17"/>
        </w:rPr>
        <w:t xml:space="preserve"> </w:t>
      </w:r>
      <w:r w:rsidRPr="006A612F">
        <w:rPr>
          <w:szCs w:val="17"/>
        </w:rPr>
        <w:t>“</w:t>
      </w:r>
      <w:r w:rsidR="00315997" w:rsidRPr="006A612F">
        <w:rPr>
          <w:szCs w:val="17"/>
        </w:rPr>
        <w:t>constitutional approach</w:t>
      </w:r>
      <w:r w:rsidRPr="006A612F">
        <w:rPr>
          <w:szCs w:val="17"/>
        </w:rPr>
        <w:t>”</w:t>
      </w:r>
      <w:r w:rsidR="00315997" w:rsidRPr="006A612F">
        <w:rPr>
          <w:szCs w:val="17"/>
        </w:rPr>
        <w:t>:</w:t>
      </w:r>
    </w:p>
    <w:p w14:paraId="485B80C2" w14:textId="4C4213C4" w:rsidR="00315997" w:rsidRPr="006A612F" w:rsidRDefault="00315997" w:rsidP="00AA6ED0">
      <w:pPr>
        <w:pStyle w:val="1StQuoteFN"/>
        <w:spacing w:line="240" w:lineRule="auto"/>
        <w:rPr>
          <w:szCs w:val="17"/>
        </w:rPr>
      </w:pPr>
      <w:r w:rsidRPr="006A612F">
        <w:rPr>
          <w:szCs w:val="17"/>
          <w:shd w:val="clear" w:color="auto" w:fill="FFFFFF"/>
        </w:rPr>
        <w:t xml:space="preserve">Under the </w:t>
      </w:r>
      <w:r w:rsidR="00BF278E" w:rsidRPr="006A612F">
        <w:rPr>
          <w:szCs w:val="17"/>
          <w:shd w:val="clear" w:color="auto" w:fill="FFFFFF"/>
        </w:rPr>
        <w:t>“</w:t>
      </w:r>
      <w:r w:rsidRPr="006A612F">
        <w:rPr>
          <w:szCs w:val="17"/>
          <w:shd w:val="clear" w:color="auto" w:fill="FFFFFF"/>
        </w:rPr>
        <w:t>constitutional</w:t>
      </w:r>
      <w:r w:rsidR="00BF278E" w:rsidRPr="006A612F">
        <w:rPr>
          <w:szCs w:val="17"/>
          <w:shd w:val="clear" w:color="auto" w:fill="FFFFFF"/>
        </w:rPr>
        <w:t>”</w:t>
      </w:r>
      <w:r w:rsidRPr="006A612F">
        <w:rPr>
          <w:szCs w:val="17"/>
          <w:shd w:val="clear" w:color="auto" w:fill="FFFFFF"/>
        </w:rPr>
        <w:t xml:space="preserve"> approach, plaintiffs presumably will be most likely to establish supervisory liability where subordinates violate the Fourth Amendment. These claims are adjudicated under an objective unreasonableness test that is more lenient than the deliberate indifference test that governed pre-</w:t>
      </w:r>
      <w:r w:rsidRPr="006A612F">
        <w:rPr>
          <w:i/>
          <w:szCs w:val="17"/>
          <w:shd w:val="clear" w:color="auto" w:fill="FFFFFF"/>
        </w:rPr>
        <w:t>Iqbal</w:t>
      </w:r>
      <w:r w:rsidRPr="006A612F">
        <w:rPr>
          <w:szCs w:val="17"/>
          <w:shd w:val="clear" w:color="auto" w:fill="FFFFFF"/>
        </w:rPr>
        <w:t xml:space="preserve"> supervisory liability cases.</w:t>
      </w:r>
      <w:r w:rsidR="006834B3" w:rsidRPr="006A612F">
        <w:rPr>
          <w:szCs w:val="17"/>
          <w:shd w:val="clear" w:color="auto" w:fill="FFFFFF"/>
        </w:rPr>
        <w:t xml:space="preserve"> </w:t>
      </w:r>
      <w:r w:rsidRPr="006A612F">
        <w:rPr>
          <w:szCs w:val="17"/>
          <w:shd w:val="clear" w:color="auto" w:fill="FFFFFF"/>
        </w:rPr>
        <w:t>However, applying a reasonableness standard to establish Fourth Amendment supervisory liability conflicts with the Supreme Court</w:t>
      </w:r>
      <w:r w:rsidR="00BF278E" w:rsidRPr="006A612F">
        <w:rPr>
          <w:szCs w:val="17"/>
          <w:shd w:val="clear" w:color="auto" w:fill="FFFFFF"/>
        </w:rPr>
        <w:t>’</w:t>
      </w:r>
      <w:r w:rsidRPr="006A612F">
        <w:rPr>
          <w:szCs w:val="17"/>
          <w:shd w:val="clear" w:color="auto" w:fill="FFFFFF"/>
        </w:rPr>
        <w:t>s interpretation of §</w:t>
      </w:r>
      <w:r w:rsidR="006834B3" w:rsidRPr="006A612F">
        <w:rPr>
          <w:szCs w:val="17"/>
          <w:shd w:val="clear" w:color="auto" w:fill="FFFFFF"/>
        </w:rPr>
        <w:t> </w:t>
      </w:r>
      <w:r w:rsidRPr="006A612F">
        <w:rPr>
          <w:szCs w:val="17"/>
          <w:shd w:val="clear" w:color="auto" w:fill="FFFFFF"/>
        </w:rPr>
        <w:t>1983</w:t>
      </w:r>
      <w:r w:rsidR="00BF278E" w:rsidRPr="006A612F">
        <w:rPr>
          <w:szCs w:val="17"/>
          <w:shd w:val="clear" w:color="auto" w:fill="FFFFFF"/>
        </w:rPr>
        <w:t>’</w:t>
      </w:r>
      <w:r w:rsidRPr="006A612F">
        <w:rPr>
          <w:szCs w:val="17"/>
          <w:shd w:val="clear" w:color="auto" w:fill="FFFFFF"/>
        </w:rPr>
        <w:t>s causation language in the context of municipal liability claims. In those cases, the Court ruled that policymaking officials must act with deliberate indifference towards their subordinates</w:t>
      </w:r>
      <w:r w:rsidR="00BF278E" w:rsidRPr="006A612F">
        <w:rPr>
          <w:szCs w:val="17"/>
          <w:shd w:val="clear" w:color="auto" w:fill="FFFFFF"/>
        </w:rPr>
        <w:t>’</w:t>
      </w:r>
      <w:r w:rsidRPr="006A612F">
        <w:rPr>
          <w:szCs w:val="17"/>
          <w:shd w:val="clear" w:color="auto" w:fill="FFFFFF"/>
        </w:rPr>
        <w:t xml:space="preserve"> deprivation of constitutional rights.</w:t>
      </w:r>
    </w:p>
    <w:p w14:paraId="796772FB" w14:textId="6E76F2A1" w:rsidR="00315997" w:rsidRPr="006A612F" w:rsidRDefault="00315997" w:rsidP="00AA6ED0">
      <w:pPr>
        <w:pStyle w:val="FootNote"/>
        <w:spacing w:line="240" w:lineRule="auto"/>
        <w:rPr>
          <w:szCs w:val="17"/>
        </w:rPr>
      </w:pPr>
      <w:r w:rsidRPr="0024777B">
        <w:rPr>
          <w:i/>
          <w:szCs w:val="17"/>
        </w:rPr>
        <w:t>Id.</w:t>
      </w:r>
      <w:r w:rsidRPr="006A612F">
        <w:rPr>
          <w:i/>
          <w:iCs/>
          <w:szCs w:val="17"/>
        </w:rPr>
        <w:t xml:space="preserve"> </w:t>
      </w:r>
      <w:r w:rsidRPr="006A612F">
        <w:rPr>
          <w:szCs w:val="17"/>
        </w:rPr>
        <w:t>at 295–96.</w:t>
      </w:r>
    </w:p>
  </w:footnote>
  <w:footnote w:id="149">
    <w:p w14:paraId="10B30597" w14:textId="79E39FD8"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Terebesi v. Torreso, 764 F.3d 217, 234 (2d Cir. 2014); </w:t>
      </w:r>
      <w:r w:rsidR="00315997" w:rsidRPr="006A612F">
        <w:rPr>
          <w:iCs/>
          <w:szCs w:val="17"/>
        </w:rPr>
        <w:t>Williams v. Papi</w:t>
      </w:r>
      <w:r w:rsidR="00315997" w:rsidRPr="006A612F">
        <w:rPr>
          <w:szCs w:val="17"/>
        </w:rPr>
        <w:t>, 714 F. App</w:t>
      </w:r>
      <w:r w:rsidRPr="006A612F">
        <w:rPr>
          <w:szCs w:val="17"/>
        </w:rPr>
        <w:t>’</w:t>
      </w:r>
      <w:r w:rsidR="00315997" w:rsidRPr="006A612F">
        <w:rPr>
          <w:szCs w:val="17"/>
        </w:rPr>
        <w:t xml:space="preserve">x 128, 133–34 (3d Cir. 2017); </w:t>
      </w:r>
      <w:r w:rsidR="00315997" w:rsidRPr="006A612F">
        <w:rPr>
          <w:i/>
          <w:szCs w:val="17"/>
        </w:rPr>
        <w:t xml:space="preserve">see also </w:t>
      </w:r>
      <w:r w:rsidR="00315997" w:rsidRPr="006A612F">
        <w:rPr>
          <w:szCs w:val="17"/>
        </w:rPr>
        <w:t>Levinson,</w:t>
      </w:r>
      <w:r w:rsidR="00315997" w:rsidRPr="006A612F">
        <w:rPr>
          <w:i/>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_Ref83810153 \h  \* MERGEFORMAT </w:instrText>
      </w:r>
      <w:r w:rsidR="00315997" w:rsidRPr="006A612F">
        <w:rPr>
          <w:szCs w:val="17"/>
        </w:rPr>
      </w:r>
      <w:r w:rsidR="00315997" w:rsidRPr="006A612F">
        <w:rPr>
          <w:szCs w:val="17"/>
        </w:rPr>
        <w:fldChar w:fldCharType="separate"/>
      </w:r>
      <w:r w:rsidR="00AA6ED0" w:rsidRPr="006A612F">
        <w:rPr>
          <w:szCs w:val="17"/>
        </w:rPr>
        <w:t>146</w:t>
      </w:r>
      <w:r w:rsidR="00315997" w:rsidRPr="006A612F">
        <w:rPr>
          <w:szCs w:val="17"/>
        </w:rPr>
        <w:fldChar w:fldCharType="end"/>
      </w:r>
      <w:r w:rsidR="00315997" w:rsidRPr="006A612F">
        <w:rPr>
          <w:szCs w:val="17"/>
        </w:rPr>
        <w:t xml:space="preserve">, at 288–89 (stating that </w:t>
      </w:r>
      <w:r w:rsidR="00315997" w:rsidRPr="006A612F">
        <w:rPr>
          <w:i/>
          <w:iCs/>
          <w:szCs w:val="17"/>
        </w:rPr>
        <w:t xml:space="preserve">Iqbal </w:t>
      </w:r>
      <w:r w:rsidR="00315997" w:rsidRPr="006A612F">
        <w:rPr>
          <w:szCs w:val="17"/>
        </w:rPr>
        <w:t xml:space="preserve">resulted in some federal courts requiring </w:t>
      </w:r>
      <w:r w:rsidRPr="006A612F">
        <w:rPr>
          <w:szCs w:val="17"/>
        </w:rPr>
        <w:t>“</w:t>
      </w:r>
      <w:r w:rsidR="00315997" w:rsidRPr="006A612F">
        <w:rPr>
          <w:szCs w:val="17"/>
        </w:rPr>
        <w:t>personal participation by the supervisor in a subordinate</w:t>
      </w:r>
      <w:r w:rsidRPr="006A612F">
        <w:rPr>
          <w:szCs w:val="17"/>
        </w:rPr>
        <w:t>’</w:t>
      </w:r>
      <w:r w:rsidR="00315997" w:rsidRPr="006A612F">
        <w:rPr>
          <w:szCs w:val="17"/>
        </w:rPr>
        <w:t>s wrongdoing, either by ordering or directly participating in the constitutional violation, or by creating a policy or custom under which the unconstitutional practices occurred</w:t>
      </w:r>
      <w:r w:rsidRPr="006A612F">
        <w:rPr>
          <w:szCs w:val="17"/>
        </w:rPr>
        <w:t>”</w:t>
      </w:r>
      <w:r w:rsidR="00315997" w:rsidRPr="006A612F">
        <w:rPr>
          <w:szCs w:val="17"/>
        </w:rPr>
        <w:t xml:space="preserve"> and that </w:t>
      </w:r>
      <w:r w:rsidRPr="006A612F">
        <w:rPr>
          <w:szCs w:val="17"/>
        </w:rPr>
        <w:t>“</w:t>
      </w:r>
      <w:r w:rsidR="00315997" w:rsidRPr="006A612F">
        <w:rPr>
          <w:szCs w:val="17"/>
        </w:rPr>
        <w:t>[</w:t>
      </w:r>
      <w:r w:rsidR="00315997" w:rsidRPr="006A612F">
        <w:rPr>
          <w:rFonts w:eastAsia="Source Sans Pro"/>
          <w:szCs w:val="17"/>
        </w:rPr>
        <w:t xml:space="preserve">m]any have relied on </w:t>
      </w:r>
      <w:r w:rsidR="00315997" w:rsidRPr="006A612F">
        <w:rPr>
          <w:rFonts w:eastAsia="Source Sans Pro"/>
          <w:i/>
          <w:iCs/>
          <w:szCs w:val="17"/>
        </w:rPr>
        <w:t>Iqbal</w:t>
      </w:r>
      <w:r w:rsidR="00315997" w:rsidRPr="006A612F">
        <w:rPr>
          <w:rFonts w:eastAsia="Source Sans Pro"/>
          <w:szCs w:val="17"/>
        </w:rPr>
        <w:t xml:space="preserve"> to reject supervisory claims based on a failure to train or supervise</w:t>
      </w:r>
      <w:r w:rsidRPr="006A612F">
        <w:rPr>
          <w:rFonts w:eastAsia="Source Sans Pro"/>
          <w:szCs w:val="17"/>
        </w:rPr>
        <w:t>”</w:t>
      </w:r>
      <w:r w:rsidR="00315997" w:rsidRPr="006A612F">
        <w:rPr>
          <w:szCs w:val="17"/>
        </w:rPr>
        <w:t>).</w:t>
      </w:r>
    </w:p>
  </w:footnote>
  <w:footnote w:id="150">
    <w:p w14:paraId="3EEA35D1" w14:textId="3FA3D4F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Terebesi</w:t>
      </w:r>
      <w:r w:rsidR="00315997" w:rsidRPr="006A612F">
        <w:rPr>
          <w:szCs w:val="17"/>
        </w:rPr>
        <w:t>, 764 F.3d at 234.</w:t>
      </w:r>
    </w:p>
  </w:footnote>
  <w:footnote w:id="151">
    <w:p w14:paraId="3A1F631A" w14:textId="15F5E926"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iCs/>
          <w:szCs w:val="17"/>
        </w:rPr>
        <w:t>,</w:t>
      </w:r>
      <w:r w:rsidR="00315997" w:rsidRPr="006A612F">
        <w:rPr>
          <w:szCs w:val="17"/>
        </w:rPr>
        <w:t xml:space="preserve"> Colon v. Coughlin, 58 F.3d 865, 873 (2d Cir. 1995) </w:t>
      </w:r>
      <w:r w:rsidR="00315997" w:rsidRPr="006A612F">
        <w:rPr>
          <w:szCs w:val="17"/>
          <w:shd w:val="clear" w:color="auto" w:fill="FFFFFF"/>
        </w:rPr>
        <w:t xml:space="preserve">(stating that </w:t>
      </w:r>
      <w:r w:rsidR="00315997" w:rsidRPr="006A612F">
        <w:rPr>
          <w:szCs w:val="17"/>
        </w:rPr>
        <w:t xml:space="preserve">supervisors who </w:t>
      </w:r>
      <w:r w:rsidRPr="006A612F">
        <w:rPr>
          <w:szCs w:val="17"/>
        </w:rPr>
        <w:t>“</w:t>
      </w:r>
      <w:r w:rsidR="00315997" w:rsidRPr="006A612F">
        <w:rPr>
          <w:szCs w:val="17"/>
        </w:rPr>
        <w:t>exhibited deliberate indifference to the rights of [plaintiffs] by failing to act on information that unconstitutional acts were occurring</w:t>
      </w:r>
      <w:r w:rsidRPr="006A612F">
        <w:rPr>
          <w:szCs w:val="17"/>
        </w:rPr>
        <w:t>”</w:t>
      </w:r>
      <w:r w:rsidR="00315997" w:rsidRPr="006A612F">
        <w:rPr>
          <w:szCs w:val="17"/>
        </w:rPr>
        <w:t xml:space="preserve"> may be held liable for those violations</w:t>
      </w:r>
      <w:r w:rsidR="00315997" w:rsidRPr="006A612F">
        <w:rPr>
          <w:szCs w:val="17"/>
          <w:shd w:val="clear" w:color="auto" w:fill="FFFFFF"/>
        </w:rPr>
        <w:t xml:space="preserve">); </w:t>
      </w:r>
      <w:r w:rsidR="00315997" w:rsidRPr="006A612F">
        <w:rPr>
          <w:i/>
          <w:iCs/>
          <w:szCs w:val="17"/>
          <w:shd w:val="clear" w:color="auto" w:fill="FFFFFF"/>
        </w:rPr>
        <w:t>Terebesi</w:t>
      </w:r>
      <w:r w:rsidR="00315997" w:rsidRPr="006A612F">
        <w:rPr>
          <w:szCs w:val="17"/>
          <w:shd w:val="clear" w:color="auto" w:fill="FFFFFF"/>
        </w:rPr>
        <w:t>, 764 F.3d at</w:t>
      </w:r>
      <w:r w:rsidR="00315997" w:rsidRPr="006A612F">
        <w:rPr>
          <w:szCs w:val="17"/>
        </w:rPr>
        <w:t xml:space="preserve"> 234–35 (</w:t>
      </w:r>
      <w:r w:rsidRPr="006A612F">
        <w:rPr>
          <w:szCs w:val="17"/>
        </w:rPr>
        <w:t>“</w:t>
      </w:r>
      <w:r w:rsidR="00315997" w:rsidRPr="006A612F">
        <w:rPr>
          <w:szCs w:val="17"/>
        </w:rPr>
        <w:t xml:space="preserve">A defendant who plans or directs an unreasonable use of force is liable for the </w:t>
      </w:r>
      <w:r w:rsidR="00315997" w:rsidRPr="006A612F">
        <w:rPr>
          <w:i/>
          <w:iCs/>
          <w:szCs w:val="17"/>
        </w:rPr>
        <w:t>resulting</w:t>
      </w:r>
      <w:r w:rsidR="00315997" w:rsidRPr="006A612F">
        <w:rPr>
          <w:szCs w:val="17"/>
        </w:rPr>
        <w:t xml:space="preserve"> constitutional violation.</w:t>
      </w:r>
      <w:r w:rsidRPr="006A612F">
        <w:rPr>
          <w:szCs w:val="17"/>
          <w:shd w:val="clear" w:color="auto" w:fill="FFFFFF"/>
        </w:rPr>
        <w:t>”</w:t>
      </w:r>
      <w:r w:rsidR="00315997" w:rsidRPr="006A612F">
        <w:rPr>
          <w:szCs w:val="17"/>
          <w:shd w:val="clear" w:color="auto" w:fill="FFFFFF"/>
        </w:rPr>
        <w:t xml:space="preserve"> (emphasis added)); Estate of Keenan v. Hoffman-Rosenfeld</w:t>
      </w:r>
      <w:r w:rsidR="00315997" w:rsidRPr="006A612F">
        <w:rPr>
          <w:szCs w:val="17"/>
        </w:rPr>
        <w:t xml:space="preserve">, No. 16-cv-0149, 2019 WL 3416374, at *18 n.12 (E.D.N.Y. July 29, 2019) (noting that </w:t>
      </w:r>
      <w:r w:rsidRPr="006A612F">
        <w:rPr>
          <w:szCs w:val="17"/>
        </w:rPr>
        <w:t>“</w:t>
      </w:r>
      <w:r w:rsidR="00315997" w:rsidRPr="006A612F">
        <w:rPr>
          <w:szCs w:val="17"/>
        </w:rPr>
        <w:t xml:space="preserve">while </w:t>
      </w:r>
      <w:r w:rsidRPr="006A612F">
        <w:rPr>
          <w:szCs w:val="17"/>
        </w:rPr>
        <w:t>‘</w:t>
      </w:r>
      <w:r w:rsidR="00315997" w:rsidRPr="006A612F">
        <w:rPr>
          <w:i/>
          <w:iCs/>
          <w:szCs w:val="17"/>
        </w:rPr>
        <w:t>Iqbal</w:t>
      </w:r>
      <w:r w:rsidR="00315997" w:rsidRPr="006A612F">
        <w:rPr>
          <w:szCs w:val="17"/>
        </w:rPr>
        <w:t xml:space="preserve"> implicitly abrogated, at least in part, the test for supervisory liability the Second Circuit articulated in </w:t>
      </w:r>
      <w:r w:rsidR="00315997" w:rsidRPr="006A612F">
        <w:rPr>
          <w:i/>
          <w:szCs w:val="17"/>
        </w:rPr>
        <w:t>Colon</w:t>
      </w:r>
      <w:r w:rsidR="006834B3" w:rsidRPr="006A612F">
        <w:rPr>
          <w:i/>
          <w:szCs w:val="17"/>
        </w:rPr>
        <w:t> </w:t>
      </w:r>
      <w:r w:rsidRPr="006A612F">
        <w:rPr>
          <w:szCs w:val="17"/>
        </w:rPr>
        <w:t>. . .</w:t>
      </w:r>
      <w:r w:rsidR="006834B3" w:rsidRPr="006A612F">
        <w:rPr>
          <w:szCs w:val="17"/>
        </w:rPr>
        <w:t> </w:t>
      </w:r>
      <w:r w:rsidR="00315997" w:rsidRPr="006A612F">
        <w:rPr>
          <w:szCs w:val="17"/>
        </w:rPr>
        <w:t>, the Second Circuit has yet to resolve this issue</w:t>
      </w:r>
      <w:r w:rsidRPr="006A612F">
        <w:rPr>
          <w:szCs w:val="17"/>
        </w:rPr>
        <w:t>’”</w:t>
      </w:r>
      <w:r w:rsidR="00315997" w:rsidRPr="006A612F">
        <w:rPr>
          <w:szCs w:val="17"/>
        </w:rPr>
        <w:t xml:space="preserve"> (omission in original) (quoting Ojo v. United States, No. 15-cv-6089, 2018 WL 3863441, at *9 (E.D.N.Y. Aug. 8, 2018))). However, although </w:t>
      </w:r>
      <w:r w:rsidRPr="006A612F">
        <w:rPr>
          <w:szCs w:val="17"/>
        </w:rPr>
        <w:t>“‘</w:t>
      </w:r>
      <w:r w:rsidR="00315997" w:rsidRPr="006A612F">
        <w:rPr>
          <w:szCs w:val="17"/>
        </w:rPr>
        <w:t xml:space="preserve">the weight of authority among the district courts in the Eastern District of New York suggests that only two of the </w:t>
      </w:r>
      <w:r w:rsidR="00315997" w:rsidRPr="006A612F">
        <w:rPr>
          <w:i/>
          <w:iCs/>
          <w:szCs w:val="17"/>
        </w:rPr>
        <w:t>Colon</w:t>
      </w:r>
      <w:r w:rsidR="00315997" w:rsidRPr="006A612F">
        <w:rPr>
          <w:szCs w:val="17"/>
        </w:rPr>
        <w:t xml:space="preserve">-factors—direct participation and the creation of a policy or custom—survive </w:t>
      </w:r>
      <w:r w:rsidR="00315997" w:rsidRPr="006A612F">
        <w:rPr>
          <w:i/>
          <w:iCs/>
          <w:szCs w:val="17"/>
        </w:rPr>
        <w:t>Iqbal</w:t>
      </w:r>
      <w:r w:rsidR="00315997" w:rsidRPr="006A612F">
        <w:rPr>
          <w:szCs w:val="17"/>
        </w:rPr>
        <w:t>,</w:t>
      </w:r>
      <w:r w:rsidRPr="006A612F">
        <w:rPr>
          <w:szCs w:val="17"/>
        </w:rPr>
        <w:t>’</w:t>
      </w:r>
      <w:r w:rsidR="00315997" w:rsidRPr="006A612F">
        <w:rPr>
          <w:szCs w:val="17"/>
        </w:rPr>
        <w:t xml:space="preserve"> there remains a </w:t>
      </w:r>
      <w:r w:rsidRPr="006A612F">
        <w:rPr>
          <w:szCs w:val="17"/>
        </w:rPr>
        <w:t>‘</w:t>
      </w:r>
      <w:r w:rsidR="00315997" w:rsidRPr="006A612F">
        <w:rPr>
          <w:szCs w:val="17"/>
        </w:rPr>
        <w:t xml:space="preserve">certain degree of </w:t>
      </w:r>
      <w:r w:rsidRPr="006A612F">
        <w:rPr>
          <w:szCs w:val="17"/>
        </w:rPr>
        <w:t>“</w:t>
      </w:r>
      <w:r w:rsidR="00315997" w:rsidRPr="006A612F">
        <w:rPr>
          <w:szCs w:val="17"/>
        </w:rPr>
        <w:t>conflict</w:t>
      </w:r>
      <w:r w:rsidRPr="006A612F">
        <w:rPr>
          <w:szCs w:val="17"/>
        </w:rPr>
        <w:t>”</w:t>
      </w:r>
      <w:r w:rsidR="00315997" w:rsidRPr="006A612F">
        <w:rPr>
          <w:szCs w:val="17"/>
        </w:rPr>
        <w:t xml:space="preserve"> among district courts about exactly how </w:t>
      </w:r>
      <w:r w:rsidR="00315997" w:rsidRPr="006A612F">
        <w:rPr>
          <w:i/>
          <w:iCs/>
          <w:szCs w:val="17"/>
        </w:rPr>
        <w:t xml:space="preserve">Iqbal </w:t>
      </w:r>
      <w:r w:rsidR="00315997" w:rsidRPr="006A612F">
        <w:rPr>
          <w:szCs w:val="17"/>
        </w:rPr>
        <w:t xml:space="preserve">affects </w:t>
      </w:r>
      <w:r w:rsidR="00315997" w:rsidRPr="006A612F">
        <w:rPr>
          <w:i/>
          <w:iCs/>
          <w:szCs w:val="17"/>
        </w:rPr>
        <w:t>Colon.</w:t>
      </w:r>
      <w:r w:rsidRPr="006A612F">
        <w:rPr>
          <w:szCs w:val="17"/>
        </w:rPr>
        <w:t>’”</w:t>
      </w:r>
      <w:r w:rsidR="00315997" w:rsidRPr="006A612F">
        <w:rPr>
          <w:szCs w:val="17"/>
        </w:rPr>
        <w:t xml:space="preserve"> </w:t>
      </w:r>
      <w:r w:rsidR="00315997" w:rsidRPr="0024777B">
        <w:rPr>
          <w:i/>
          <w:szCs w:val="17"/>
        </w:rPr>
        <w:t>Id.</w:t>
      </w:r>
      <w:r w:rsidR="00315997" w:rsidRPr="006A612F">
        <w:rPr>
          <w:szCs w:val="17"/>
        </w:rPr>
        <w:t xml:space="preserve"> (first quoting Butler v. Suffolk County, 289 F.R.D. 80, 94 n.8 (E.D.N.Y. 2013); then quoting </w:t>
      </w:r>
      <w:r w:rsidR="00315997" w:rsidRPr="006A612F">
        <w:rPr>
          <w:i/>
          <w:iCs/>
          <w:szCs w:val="17"/>
        </w:rPr>
        <w:t>Ojo</w:t>
      </w:r>
      <w:r w:rsidR="00315997" w:rsidRPr="006A612F">
        <w:rPr>
          <w:szCs w:val="17"/>
        </w:rPr>
        <w:t>, 2018 WL 3863441 at *9.</w:t>
      </w:r>
      <w:r w:rsidR="00315997" w:rsidRPr="006A612F">
        <w:rPr>
          <w:i/>
          <w:iCs/>
          <w:szCs w:val="17"/>
        </w:rPr>
        <w:t xml:space="preserve"> See also</w:t>
      </w:r>
      <w:r w:rsidR="00315997" w:rsidRPr="006A612F">
        <w:rPr>
          <w:szCs w:val="17"/>
        </w:rPr>
        <w:t xml:space="preserve"> Levinson,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_Ref83810153 \h  \* MERGEFORMAT </w:instrText>
      </w:r>
      <w:r w:rsidR="00315997" w:rsidRPr="006A612F">
        <w:rPr>
          <w:szCs w:val="17"/>
        </w:rPr>
      </w:r>
      <w:r w:rsidR="00315997" w:rsidRPr="006A612F">
        <w:rPr>
          <w:szCs w:val="17"/>
        </w:rPr>
        <w:fldChar w:fldCharType="separate"/>
      </w:r>
      <w:r w:rsidR="00AA6ED0" w:rsidRPr="006A612F">
        <w:rPr>
          <w:szCs w:val="17"/>
        </w:rPr>
        <w:t>146</w:t>
      </w:r>
      <w:r w:rsidR="00315997" w:rsidRPr="006A612F">
        <w:rPr>
          <w:szCs w:val="17"/>
        </w:rPr>
        <w:fldChar w:fldCharType="end"/>
      </w:r>
      <w:r w:rsidR="00315997" w:rsidRPr="006A612F">
        <w:rPr>
          <w:szCs w:val="17"/>
        </w:rPr>
        <w:t>, at 293 (</w:t>
      </w:r>
      <w:r w:rsidRPr="006A612F">
        <w:rPr>
          <w:szCs w:val="17"/>
        </w:rPr>
        <w:t>“</w:t>
      </w:r>
      <w:r w:rsidR="00315997" w:rsidRPr="006A612F">
        <w:rPr>
          <w:szCs w:val="17"/>
        </w:rPr>
        <w:t>Much of the lower courts</w:t>
      </w:r>
      <w:r w:rsidRPr="006A612F">
        <w:rPr>
          <w:szCs w:val="17"/>
        </w:rPr>
        <w:t>’</w:t>
      </w:r>
      <w:r w:rsidR="00315997" w:rsidRPr="006A612F">
        <w:rPr>
          <w:szCs w:val="17"/>
        </w:rPr>
        <w:t xml:space="preserve"> confusion arises because the Supreme Court has conflated </w:t>
      </w:r>
      <w:r w:rsidRPr="006A612F">
        <w:rPr>
          <w:szCs w:val="17"/>
        </w:rPr>
        <w:t>‘</w:t>
      </w:r>
      <w:r w:rsidR="00315997" w:rsidRPr="006A612F">
        <w:rPr>
          <w:szCs w:val="17"/>
        </w:rPr>
        <w:t>causation</w:t>
      </w:r>
      <w:r w:rsidRPr="006A612F">
        <w:rPr>
          <w:szCs w:val="17"/>
        </w:rPr>
        <w:t>’</w:t>
      </w:r>
      <w:r w:rsidR="00315997" w:rsidRPr="006A612F">
        <w:rPr>
          <w:szCs w:val="17"/>
        </w:rPr>
        <w:t xml:space="preserve"> with </w:t>
      </w:r>
      <w:r w:rsidRPr="006A612F">
        <w:rPr>
          <w:szCs w:val="17"/>
        </w:rPr>
        <w:t>‘</w:t>
      </w:r>
      <w:r w:rsidR="00315997" w:rsidRPr="006A612F">
        <w:rPr>
          <w:szCs w:val="17"/>
        </w:rPr>
        <w:t>state of mind.</w:t>
      </w:r>
      <w:r w:rsidRPr="006A612F">
        <w:rPr>
          <w:szCs w:val="17"/>
        </w:rPr>
        <w:t>’”</w:t>
      </w:r>
      <w:r w:rsidR="00315997" w:rsidRPr="006A612F">
        <w:rPr>
          <w:szCs w:val="17"/>
        </w:rPr>
        <w:t>).</w:t>
      </w:r>
    </w:p>
  </w:footnote>
  <w:footnote w:id="152">
    <w:p w14:paraId="61299D8E" w14:textId="7B67B8CF"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w:t>
      </w:r>
      <w:r w:rsidR="00315997" w:rsidRPr="006A612F">
        <w:rPr>
          <w:i/>
          <w:iCs/>
          <w:szCs w:val="17"/>
        </w:rPr>
        <w:t>Terebesi</w:t>
      </w:r>
      <w:r w:rsidR="00315997" w:rsidRPr="006A612F">
        <w:rPr>
          <w:szCs w:val="17"/>
        </w:rPr>
        <w:t>, 764 F.3d at 234–35 (analyzing whether a supervisor was liable for directing individuals to use unreasonable force).</w:t>
      </w:r>
    </w:p>
  </w:footnote>
  <w:footnote w:id="153">
    <w:p w14:paraId="148E4ADF" w14:textId="51F66EA0" w:rsidR="00315997" w:rsidRPr="006A612F" w:rsidRDefault="00BF278E" w:rsidP="00AA6ED0">
      <w:pPr>
        <w:pStyle w:val="FootNote"/>
        <w:spacing w:line="240" w:lineRule="auto"/>
        <w:rPr>
          <w:szCs w:val="17"/>
        </w:rPr>
      </w:pPr>
      <w:r w:rsidRPr="006A612F">
        <w:rPr>
          <w:szCs w:val="17"/>
          <w:shd w:val="clear" w:color="auto" w:fill="FFFFFF"/>
        </w:rPr>
        <w:fldChar w:fldCharType="begin"/>
      </w:r>
      <w:r w:rsidRPr="006A612F">
        <w:rPr>
          <w:szCs w:val="17"/>
          <w:shd w:val="clear" w:color="auto" w:fill="FFFFFF"/>
        </w:rPr>
        <w:instrText xml:space="preserve"> ADVANCE \r12 \* MERGEFORMAT </w:instrText>
      </w:r>
      <w:r w:rsidRPr="006A612F">
        <w:rPr>
          <w:szCs w:val="17"/>
          <w:shd w:val="clear" w:color="auto" w:fill="FFFFFF"/>
        </w:rPr>
        <w:fldChar w:fldCharType="end"/>
      </w:r>
      <w:r w:rsidR="00315997" w:rsidRPr="00732F34">
        <w:rPr>
          <w:rStyle w:val="NoterefInNote"/>
        </w:rPr>
        <w:footnoteRef/>
      </w:r>
      <w:r w:rsidRPr="00732F34">
        <w:rPr>
          <w:szCs w:val="17"/>
          <w:shd w:val="clear" w:color="auto" w:fill="FFFFFF"/>
        </w:rPr>
        <w:t>.</w:t>
      </w:r>
      <w:r w:rsidRPr="006A612F">
        <w:rPr>
          <w:szCs w:val="17"/>
          <w:shd w:val="clear" w:color="auto" w:fill="FFFFFF"/>
        </w:rPr>
        <w:fldChar w:fldCharType="begin"/>
      </w:r>
      <w:r w:rsidRPr="006A612F">
        <w:rPr>
          <w:szCs w:val="17"/>
          <w:shd w:val="clear" w:color="auto" w:fill="FFFFFF"/>
        </w:rPr>
        <w:instrText xml:space="preserve"> ADVANCE \r4 \* MERGEFORMAT </w:instrText>
      </w:r>
      <w:r w:rsidRPr="006A612F">
        <w:rPr>
          <w:szCs w:val="17"/>
          <w:shd w:val="clear" w:color="auto" w:fill="FFFFFF"/>
        </w:rPr>
        <w:fldChar w:fldCharType="end"/>
      </w:r>
      <w:r w:rsidR="00315997" w:rsidRPr="006A612F">
        <w:rPr>
          <w:szCs w:val="17"/>
          <w:shd w:val="clear" w:color="auto" w:fill="FFFFFF"/>
        </w:rPr>
        <w:t xml:space="preserve">The Fourth Amendment objective reasonableness standard is </w:t>
      </w:r>
      <w:r w:rsidR="00315997" w:rsidRPr="006A612F">
        <w:rPr>
          <w:i/>
          <w:szCs w:val="17"/>
          <w:shd w:val="clear" w:color="auto" w:fill="FFFFFF"/>
        </w:rPr>
        <w:t>less</w:t>
      </w:r>
      <w:r w:rsidR="00315997" w:rsidRPr="006A612F">
        <w:rPr>
          <w:szCs w:val="17"/>
          <w:shd w:val="clear" w:color="auto" w:fill="FFFFFF"/>
        </w:rPr>
        <w:t xml:space="preserve"> onerous than the pre-</w:t>
      </w:r>
      <w:r w:rsidR="00315997" w:rsidRPr="006A612F">
        <w:rPr>
          <w:i/>
          <w:szCs w:val="17"/>
          <w:shd w:val="clear" w:color="auto" w:fill="FFFFFF"/>
        </w:rPr>
        <w:t>Iqbal</w:t>
      </w:r>
      <w:r w:rsidR="00315997" w:rsidRPr="006A612F">
        <w:rPr>
          <w:szCs w:val="17"/>
          <w:shd w:val="clear" w:color="auto" w:fill="FFFFFF"/>
        </w:rPr>
        <w:t xml:space="preserve"> standard for causation, which required, at a minimum, deliberate indifference or acquiescence. Levinson, </w:t>
      </w:r>
      <w:r w:rsidR="00315997" w:rsidRPr="006A612F">
        <w:rPr>
          <w:i/>
          <w:iCs/>
          <w:szCs w:val="17"/>
          <w:shd w:val="clear" w:color="auto" w:fill="FFFFFF"/>
        </w:rPr>
        <w:t xml:space="preserve">supra </w:t>
      </w:r>
      <w:r w:rsidR="00315997" w:rsidRPr="006A612F">
        <w:rPr>
          <w:szCs w:val="17"/>
          <w:shd w:val="clear" w:color="auto" w:fill="FFFFFF"/>
        </w:rPr>
        <w:t xml:space="preserve">note </w:t>
      </w:r>
      <w:r w:rsidR="00315997" w:rsidRPr="006A612F">
        <w:rPr>
          <w:szCs w:val="17"/>
          <w:shd w:val="clear" w:color="auto" w:fill="FFFFFF"/>
        </w:rPr>
        <w:fldChar w:fldCharType="begin"/>
      </w:r>
      <w:r w:rsidR="00315997" w:rsidRPr="006A612F">
        <w:rPr>
          <w:szCs w:val="17"/>
          <w:shd w:val="clear" w:color="auto" w:fill="FFFFFF"/>
        </w:rPr>
        <w:instrText xml:space="preserve"> NOTEREF _Ref83810153 \h  \* MERGEFORMAT </w:instrText>
      </w:r>
      <w:r w:rsidR="00315997" w:rsidRPr="006A612F">
        <w:rPr>
          <w:szCs w:val="17"/>
          <w:shd w:val="clear" w:color="auto" w:fill="FFFFFF"/>
        </w:rPr>
      </w:r>
      <w:r w:rsidR="00315997" w:rsidRPr="006A612F">
        <w:rPr>
          <w:szCs w:val="17"/>
          <w:shd w:val="clear" w:color="auto" w:fill="FFFFFF"/>
        </w:rPr>
        <w:fldChar w:fldCharType="separate"/>
      </w:r>
      <w:r w:rsidR="00AA6ED0" w:rsidRPr="006A612F">
        <w:rPr>
          <w:szCs w:val="17"/>
          <w:shd w:val="clear" w:color="auto" w:fill="FFFFFF"/>
        </w:rPr>
        <w:t>146</w:t>
      </w:r>
      <w:r w:rsidR="00315997" w:rsidRPr="006A612F">
        <w:rPr>
          <w:szCs w:val="17"/>
          <w:shd w:val="clear" w:color="auto" w:fill="FFFFFF"/>
        </w:rPr>
        <w:fldChar w:fldCharType="end"/>
      </w:r>
      <w:r w:rsidR="00315997" w:rsidRPr="006A612F">
        <w:rPr>
          <w:szCs w:val="17"/>
          <w:shd w:val="clear" w:color="auto" w:fill="FFFFFF"/>
        </w:rPr>
        <w:t>, at 295. One might reconcile these two seemingly contradictory standards by concluding that a supervisor is objectively unreasonable (and violates the Constitution) when he or she is deliberately indifferent to a subordinate</w:t>
      </w:r>
      <w:r w:rsidRPr="006A612F">
        <w:rPr>
          <w:szCs w:val="17"/>
          <w:shd w:val="clear" w:color="auto" w:fill="FFFFFF"/>
        </w:rPr>
        <w:t>’</w:t>
      </w:r>
      <w:r w:rsidR="00315997" w:rsidRPr="006A612F">
        <w:rPr>
          <w:szCs w:val="17"/>
          <w:shd w:val="clear" w:color="auto" w:fill="FFFFFF"/>
        </w:rPr>
        <w:t>s Fourth Amendment violation. Yet, this multi-layered approach does not seem to align with the Court</w:t>
      </w:r>
      <w:r w:rsidRPr="006A612F">
        <w:rPr>
          <w:szCs w:val="17"/>
          <w:shd w:val="clear" w:color="auto" w:fill="FFFFFF"/>
        </w:rPr>
        <w:t>’</w:t>
      </w:r>
      <w:r w:rsidR="00315997" w:rsidRPr="006A612F">
        <w:rPr>
          <w:szCs w:val="17"/>
          <w:shd w:val="clear" w:color="auto" w:fill="FFFFFF"/>
        </w:rPr>
        <w:t xml:space="preserve">s intent in </w:t>
      </w:r>
      <w:r w:rsidR="00315997" w:rsidRPr="006A612F">
        <w:rPr>
          <w:i/>
          <w:szCs w:val="17"/>
          <w:shd w:val="clear" w:color="auto" w:fill="FFFFFF"/>
        </w:rPr>
        <w:t>Iqbal</w:t>
      </w:r>
      <w:r w:rsidR="00315997" w:rsidRPr="006A612F">
        <w:rPr>
          <w:szCs w:val="17"/>
          <w:shd w:val="clear" w:color="auto" w:fill="FFFFFF"/>
        </w:rPr>
        <w:t>—to eliminate supervisory liability.</w:t>
      </w:r>
    </w:p>
  </w:footnote>
  <w:footnote w:id="154">
    <w:p w14:paraId="31DB1146" w14:textId="2119493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292 (</w:t>
      </w:r>
      <w:r w:rsidRPr="006A612F">
        <w:rPr>
          <w:szCs w:val="17"/>
        </w:rPr>
        <w:t>“</w:t>
      </w:r>
      <w:r w:rsidR="00315997" w:rsidRPr="006A612F">
        <w:rPr>
          <w:i/>
          <w:szCs w:val="17"/>
          <w:shd w:val="clear" w:color="auto" w:fill="FFFFFF"/>
        </w:rPr>
        <w:t>Iqbal</w:t>
      </w:r>
      <w:r w:rsidR="00315997" w:rsidRPr="006A612F">
        <w:rPr>
          <w:szCs w:val="17"/>
          <w:shd w:val="clear" w:color="auto" w:fill="FFFFFF"/>
        </w:rPr>
        <w:t xml:space="preserve"> left the question of supervisory liability in a state of disarray, and it led many lower courts to ratchet up the standard for holding supervisors liable under</w:t>
      </w:r>
      <w:r w:rsidR="006834B3" w:rsidRPr="006A612F">
        <w:rPr>
          <w:szCs w:val="17"/>
          <w:shd w:val="clear" w:color="auto" w:fill="FFFFFF"/>
        </w:rPr>
        <w:t xml:space="preserve"> </w:t>
      </w:r>
      <w:r w:rsidR="00315997" w:rsidRPr="006A612F">
        <w:rPr>
          <w:szCs w:val="17"/>
          <w:shd w:val="clear" w:color="auto" w:fill="FFFFFF"/>
        </w:rPr>
        <w:t>§</w:t>
      </w:r>
      <w:r w:rsidR="006834B3" w:rsidRPr="006A612F">
        <w:rPr>
          <w:szCs w:val="17"/>
          <w:shd w:val="clear" w:color="auto" w:fill="FFFFFF"/>
        </w:rPr>
        <w:t> </w:t>
      </w:r>
      <w:r w:rsidR="00315997" w:rsidRPr="006A612F">
        <w:rPr>
          <w:szCs w:val="17"/>
          <w:shd w:val="clear" w:color="auto" w:fill="FFFFFF"/>
        </w:rPr>
        <w:t>1983,</w:t>
      </w:r>
      <w:r w:rsidR="00315997" w:rsidRPr="006A612F">
        <w:rPr>
          <w:szCs w:val="17"/>
        </w:rPr>
        <w:t xml:space="preserve"> </w:t>
      </w:r>
      <w:r w:rsidR="00315997" w:rsidRPr="006A612F">
        <w:rPr>
          <w:szCs w:val="17"/>
          <w:shd w:val="clear" w:color="auto" w:fill="FFFFFF"/>
        </w:rPr>
        <w:t xml:space="preserve">and to question supervisory liability in </w:t>
      </w:r>
      <w:r w:rsidRPr="006A612F">
        <w:rPr>
          <w:szCs w:val="17"/>
          <w:shd w:val="clear" w:color="auto" w:fill="FFFFFF"/>
        </w:rPr>
        <w:t>‘</w:t>
      </w:r>
      <w:r w:rsidR="00315997" w:rsidRPr="006A612F">
        <w:rPr>
          <w:szCs w:val="17"/>
          <w:shd w:val="clear" w:color="auto" w:fill="FFFFFF"/>
        </w:rPr>
        <w:t>failure to</w:t>
      </w:r>
      <w:r w:rsidRPr="006A612F">
        <w:rPr>
          <w:szCs w:val="17"/>
          <w:shd w:val="clear" w:color="auto" w:fill="FFFFFF"/>
        </w:rPr>
        <w:t>’</w:t>
      </w:r>
      <w:r w:rsidR="00315997" w:rsidRPr="006A612F">
        <w:rPr>
          <w:szCs w:val="17"/>
          <w:shd w:val="clear" w:color="auto" w:fill="FFFFFF"/>
        </w:rPr>
        <w:t xml:space="preserve"> cases.</w:t>
      </w:r>
      <w:r w:rsidRPr="006A612F">
        <w:rPr>
          <w:szCs w:val="17"/>
          <w:shd w:val="clear" w:color="auto" w:fill="FFFFFF"/>
        </w:rPr>
        <w:t>”</w:t>
      </w:r>
      <w:r w:rsidR="00315997" w:rsidRPr="006A612F">
        <w:rPr>
          <w:szCs w:val="17"/>
          <w:shd w:val="clear" w:color="auto" w:fill="FFFFFF"/>
        </w:rPr>
        <w:t>).</w:t>
      </w:r>
    </w:p>
  </w:footnote>
  <w:footnote w:id="155">
    <w:p w14:paraId="3C32701D" w14:textId="2D954898"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Ashcroft v. Iqbal, 556 U.S. 662, 676 (2009).</w:t>
      </w:r>
    </w:p>
  </w:footnote>
  <w:footnote w:id="156">
    <w:p w14:paraId="7603DF86" w14:textId="78B2BBAA"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Pauly v. White, 874 F.3d 1197, 1207 (10th Cir. 2017) (finding that the plaintiff provided sufficient evidence to show an officer</w:t>
      </w:r>
      <w:r w:rsidRPr="006A612F">
        <w:rPr>
          <w:szCs w:val="17"/>
        </w:rPr>
        <w:t>’</w:t>
      </w:r>
      <w:r w:rsidR="00315997" w:rsidRPr="006A612F">
        <w:rPr>
          <w:szCs w:val="17"/>
        </w:rPr>
        <w:t>s use of deadly force was unreasonable); Rogoz v. City of Hartford, 796 F.3d 236, 246 (2d. Cir. 2015) (</w:t>
      </w:r>
      <w:r w:rsidRPr="006A612F">
        <w:rPr>
          <w:szCs w:val="17"/>
        </w:rPr>
        <w:t>“</w:t>
      </w:r>
      <w:r w:rsidR="00315997" w:rsidRPr="006A612F">
        <w:rPr>
          <w:szCs w:val="17"/>
        </w:rPr>
        <w:t xml:space="preserve">[I]t is also well established that law enforcement officers violate the Fourth Amendment if the amount of force they use is </w:t>
      </w:r>
      <w:r w:rsidRPr="006A612F">
        <w:rPr>
          <w:szCs w:val="17"/>
        </w:rPr>
        <w:t>‘</w:t>
      </w:r>
      <w:r w:rsidR="00315997" w:rsidRPr="006A612F">
        <w:rPr>
          <w:szCs w:val="17"/>
        </w:rPr>
        <w:t>objectively [un]reasonable</w:t>
      </w:r>
      <w:r w:rsidRPr="006A612F">
        <w:rPr>
          <w:szCs w:val="17"/>
        </w:rPr>
        <w:t>’</w:t>
      </w:r>
      <w:r w:rsidR="00315997" w:rsidRPr="006A612F">
        <w:rPr>
          <w:szCs w:val="17"/>
        </w:rPr>
        <w:t xml:space="preserve"> in light of the facts and circumstances confronting them.</w:t>
      </w:r>
      <w:r w:rsidRPr="006A612F">
        <w:rPr>
          <w:szCs w:val="17"/>
        </w:rPr>
        <w:t>”</w:t>
      </w:r>
      <w:r w:rsidR="00315997" w:rsidRPr="006A612F">
        <w:rPr>
          <w:szCs w:val="17"/>
        </w:rPr>
        <w:t xml:space="preserve"> (quoting Graham v. Connor, 490 U.S. 386, 397 (1989))).</w:t>
      </w:r>
    </w:p>
  </w:footnote>
  <w:footnote w:id="157">
    <w:p w14:paraId="0DA31377" w14:textId="49520904" w:rsidR="00315997" w:rsidRPr="006A612F" w:rsidRDefault="00BF278E" w:rsidP="00AA6ED0">
      <w:pPr>
        <w:pStyle w:val="FootNote"/>
        <w:spacing w:line="240" w:lineRule="auto"/>
        <w:rPr>
          <w:color w:val="000000" w:themeColor="text1"/>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Levinson,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_Ref83810153 \h  \* MERGEFORMAT </w:instrText>
      </w:r>
      <w:r w:rsidR="00315997" w:rsidRPr="006A612F">
        <w:rPr>
          <w:szCs w:val="17"/>
        </w:rPr>
      </w:r>
      <w:r w:rsidR="00315997" w:rsidRPr="006A612F">
        <w:rPr>
          <w:szCs w:val="17"/>
        </w:rPr>
        <w:fldChar w:fldCharType="separate"/>
      </w:r>
      <w:r w:rsidR="00AA6ED0" w:rsidRPr="006A612F">
        <w:rPr>
          <w:szCs w:val="17"/>
        </w:rPr>
        <w:t>146</w:t>
      </w:r>
      <w:r w:rsidR="00315997" w:rsidRPr="006A612F">
        <w:rPr>
          <w:szCs w:val="17"/>
        </w:rPr>
        <w:fldChar w:fldCharType="end"/>
      </w:r>
      <w:r w:rsidR="00315997" w:rsidRPr="006A612F">
        <w:rPr>
          <w:szCs w:val="17"/>
        </w:rPr>
        <w:t>, at 291.</w:t>
      </w:r>
    </w:p>
  </w:footnote>
  <w:footnote w:id="158">
    <w:p w14:paraId="442E7267" w14:textId="0A35148C" w:rsidR="00315997" w:rsidRPr="006A612F" w:rsidRDefault="00BF278E" w:rsidP="00AA6ED0">
      <w:pPr>
        <w:pStyle w:val="FootNote"/>
        <w:spacing w:line="240" w:lineRule="auto"/>
        <w:rPr>
          <w:color w:val="000000" w:themeColor="text1"/>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291–92.</w:t>
      </w:r>
    </w:p>
  </w:footnote>
  <w:footnote w:id="159">
    <w:p w14:paraId="44E7BFC5" w14:textId="446D0B0D"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 supra</w:t>
      </w:r>
      <w:r w:rsidR="00315997" w:rsidRPr="006A612F">
        <w:rPr>
          <w:szCs w:val="17"/>
        </w:rPr>
        <w:t xml:space="preserve"> Part I. As a general rule of tort law, </w:t>
      </w:r>
      <w:r w:rsidRPr="006A612F">
        <w:rPr>
          <w:szCs w:val="17"/>
        </w:rPr>
        <w:t>“</w:t>
      </w:r>
      <w:r w:rsidR="00315997" w:rsidRPr="006A612F">
        <w:rPr>
          <w:szCs w:val="17"/>
        </w:rPr>
        <w:t>the plaintiff has the burden at the trial of establishing by a preponderance of the credible evidence that a particular defendant was actually guilty of some negligent act or omission which was the proximate cause of injuries: it is not enough to prove merely that an accident occurred and that one of the defendants must have caused it.</w:t>
      </w:r>
      <w:r w:rsidRPr="006A612F">
        <w:rPr>
          <w:szCs w:val="17"/>
        </w:rPr>
        <w:t>”</w:t>
      </w:r>
      <w:r w:rsidR="00315997" w:rsidRPr="006A612F">
        <w:rPr>
          <w:szCs w:val="17"/>
        </w:rPr>
        <w:t xml:space="preserve"> Centrone v. C. Schmidt &amp; Sons, 114 Misc. 2d 840, 842–48 (N.Y. Sup. Ct. 1982) (citing </w:t>
      </w:r>
      <w:r w:rsidR="00315997" w:rsidRPr="006A612F">
        <w:rPr>
          <w:iCs/>
          <w:szCs w:val="17"/>
        </w:rPr>
        <w:t>Bonheur v. Ramada Haulage, Inc.,</w:t>
      </w:r>
      <w:r w:rsidR="00315997" w:rsidRPr="006A612F">
        <w:rPr>
          <w:szCs w:val="17"/>
        </w:rPr>
        <w:t xml:space="preserve"> 72 A.D.2d 801, 802 (N.Y. App. Div. 1979)).</w:t>
      </w:r>
    </w:p>
  </w:footnote>
  <w:footnote w:id="160">
    <w:p w14:paraId="07B79FD7" w14:textId="58A5C9D2" w:rsidR="00315997" w:rsidRPr="006A612F" w:rsidRDefault="00BF278E" w:rsidP="00AA6ED0">
      <w:pPr>
        <w:pStyle w:val="FootNote"/>
        <w:spacing w:line="240" w:lineRule="auto"/>
      </w:pPr>
      <w:r w:rsidRPr="006A612F">
        <w:rPr>
          <w:iCs/>
          <w:szCs w:val="17"/>
        </w:rPr>
        <w:fldChar w:fldCharType="begin"/>
      </w:r>
      <w:r w:rsidRPr="006A612F">
        <w:rPr>
          <w:iCs/>
          <w:szCs w:val="17"/>
        </w:rPr>
        <w:instrText xml:space="preserve"> ADVANCE \r12 \* MERGEFORMAT </w:instrText>
      </w:r>
      <w:r w:rsidRPr="006A612F">
        <w:rPr>
          <w:iCs/>
          <w:szCs w:val="17"/>
        </w:rPr>
        <w:fldChar w:fldCharType="end"/>
      </w:r>
      <w:r w:rsidR="00315997" w:rsidRPr="00732F34">
        <w:rPr>
          <w:rStyle w:val="NoterefInNote"/>
        </w:rPr>
        <w:footnoteRef/>
      </w:r>
      <w:r w:rsidRPr="00732F34">
        <w:rPr>
          <w:szCs w:val="17"/>
        </w:rPr>
        <w:t>.</w:t>
      </w:r>
      <w:r w:rsidRPr="006A612F">
        <w:rPr>
          <w:iCs/>
          <w:szCs w:val="17"/>
        </w:rPr>
        <w:fldChar w:fldCharType="begin"/>
      </w:r>
      <w:r w:rsidRPr="006A612F">
        <w:rPr>
          <w:iCs/>
          <w:szCs w:val="17"/>
        </w:rPr>
        <w:instrText xml:space="preserve"> ADVANCE \r4 \* MERGEFORMAT </w:instrText>
      </w:r>
      <w:r w:rsidRPr="006A612F">
        <w:rPr>
          <w:iCs/>
          <w:szCs w:val="17"/>
        </w:rPr>
        <w:fldChar w:fldCharType="end"/>
      </w:r>
      <w:r w:rsidR="00315997" w:rsidRPr="006A612F">
        <w:rPr>
          <w:iCs/>
          <w:szCs w:val="17"/>
        </w:rPr>
        <w:t>767 F.2d 161 (5th Cir. 1985).</w:t>
      </w:r>
    </w:p>
  </w:footnote>
  <w:footnote w:id="161">
    <w:p w14:paraId="09B4C70E" w14:textId="646AB56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 xml:space="preserve">at 164–65. After trying unsuccessfully to execute a traffic stop, police pursued Lonnie Cox to the ranch where decedent was a foreman. Grandstaff drove towards police to help when </w:t>
      </w:r>
      <w:r w:rsidRPr="006A612F">
        <w:rPr>
          <w:szCs w:val="17"/>
        </w:rPr>
        <w:t>“</w:t>
      </w:r>
      <w:r w:rsidR="00315997" w:rsidRPr="006A612F">
        <w:rPr>
          <w:szCs w:val="17"/>
        </w:rPr>
        <w:t>officers opened fire upon him from two sides.</w:t>
      </w:r>
      <w:r w:rsidRPr="006A612F">
        <w:rPr>
          <w:szCs w:val="17"/>
        </w:rPr>
        <w:t>”</w:t>
      </w:r>
      <w:r w:rsidR="00315997" w:rsidRPr="006A612F">
        <w:rPr>
          <w:szCs w:val="17"/>
        </w:rPr>
        <w:t xml:space="preserve"> He died shortly thereafter.</w:t>
      </w:r>
    </w:p>
  </w:footnote>
  <w:footnote w:id="162">
    <w:p w14:paraId="4D5987E7" w14:textId="3CECA9B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167. Specifically, the court noted the following facts:</w:t>
      </w:r>
    </w:p>
    <w:p w14:paraId="283D1566" w14:textId="40C88580" w:rsidR="00315997" w:rsidRPr="006A612F" w:rsidRDefault="00315997" w:rsidP="00AA6ED0">
      <w:pPr>
        <w:pStyle w:val="FootNote"/>
        <w:spacing w:line="240" w:lineRule="auto"/>
        <w:ind w:left="446" w:right="446"/>
        <w:rPr>
          <w:szCs w:val="17"/>
        </w:rPr>
      </w:pPr>
      <w:r w:rsidRPr="006A612F">
        <w:rPr>
          <w:szCs w:val="17"/>
        </w:rPr>
        <w:t xml:space="preserve">[T]he officers knew that third parties lived in the home from which the Grandstaff pickup came. They were aware of the possibility that an innocent resident of the house could have been in the pickup </w:t>
      </w:r>
      <w:r w:rsidR="00BF278E" w:rsidRPr="006A612F">
        <w:rPr>
          <w:szCs w:val="17"/>
        </w:rPr>
        <w:t>. . .</w:t>
      </w:r>
      <w:r w:rsidRPr="006A612F">
        <w:rPr>
          <w:szCs w:val="17"/>
        </w:rPr>
        <w:t xml:space="preserve"> [and] without awaiting any hostile act or sound, they poured their gunfire at the truck and into the person of James Grandstaff. They showed no inclination to avoid inflicting unnecessary harm upon innocent people. They simply saw a target and fired.</w:t>
      </w:r>
    </w:p>
    <w:p w14:paraId="7745196F" w14:textId="33CFD329" w:rsidR="00315997" w:rsidRPr="006A612F" w:rsidRDefault="00315997" w:rsidP="00AA6ED0">
      <w:pPr>
        <w:pStyle w:val="FootNote"/>
        <w:spacing w:line="240" w:lineRule="auto"/>
        <w:rPr>
          <w:szCs w:val="17"/>
        </w:rPr>
      </w:pPr>
      <w:r w:rsidRPr="0024777B">
        <w:rPr>
          <w:i/>
          <w:szCs w:val="17"/>
        </w:rPr>
        <w:t>Id.</w:t>
      </w:r>
      <w:r w:rsidRPr="006A612F">
        <w:rPr>
          <w:i/>
          <w:iCs/>
          <w:szCs w:val="17"/>
        </w:rPr>
        <w:t xml:space="preserve"> </w:t>
      </w:r>
      <w:r w:rsidRPr="006A612F">
        <w:rPr>
          <w:szCs w:val="17"/>
        </w:rPr>
        <w:t>at 167–68.</w:t>
      </w:r>
    </w:p>
  </w:footnote>
  <w:footnote w:id="163">
    <w:p w14:paraId="40541A4B" w14:textId="44C3D07C"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168.</w:t>
      </w:r>
    </w:p>
  </w:footnote>
  <w:footnote w:id="164">
    <w:p w14:paraId="30ED9DC1" w14:textId="58290FF5" w:rsidR="00315997" w:rsidRPr="006A612F" w:rsidRDefault="00BF278E" w:rsidP="00AA6ED0">
      <w:pPr>
        <w:pStyle w:val="FootNote"/>
        <w:spacing w:line="240" w:lineRule="auto"/>
        <w:rPr>
          <w:b/>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 xml:space="preserve">In a sharply worded opinion, the Fifth Circuit noted, </w:t>
      </w:r>
      <w:r w:rsidRPr="006A612F">
        <w:rPr>
          <w:szCs w:val="17"/>
        </w:rPr>
        <w:t>“</w:t>
      </w:r>
      <w:r w:rsidR="00315997" w:rsidRPr="006A612F">
        <w:rPr>
          <w:szCs w:val="17"/>
        </w:rPr>
        <w:t>[the defendants] may as well argue that no one on a firing squad is responsible for the victim</w:t>
      </w:r>
      <w:r w:rsidRPr="006A612F">
        <w:rPr>
          <w:szCs w:val="17"/>
        </w:rPr>
        <w:t>’</w:t>
      </w:r>
      <w:r w:rsidR="00315997" w:rsidRPr="006A612F">
        <w:rPr>
          <w:szCs w:val="17"/>
        </w:rPr>
        <w:t>s death unless we know whose bullet first struck the heart.</w:t>
      </w:r>
      <w:r w:rsidRPr="006A612F">
        <w:rPr>
          <w:szCs w:val="17"/>
        </w:rPr>
        <w:t>”</w:t>
      </w:r>
      <w:r w:rsidR="00315997" w:rsidRPr="006A612F">
        <w:rPr>
          <w:szCs w:val="17"/>
        </w:rPr>
        <w:t xml:space="preserve"> </w:t>
      </w:r>
      <w:r w:rsidR="00315997" w:rsidRPr="0024777B">
        <w:rPr>
          <w:i/>
          <w:szCs w:val="17"/>
        </w:rPr>
        <w:t>Id.</w:t>
      </w:r>
    </w:p>
  </w:footnote>
  <w:footnote w:id="165">
    <w:p w14:paraId="26C9B448" w14:textId="6D0874F9" w:rsidR="00315997" w:rsidRPr="006A612F" w:rsidRDefault="00BF278E" w:rsidP="00AA6ED0">
      <w:pPr>
        <w:pStyle w:val="FootNote"/>
        <w:spacing w:line="240" w:lineRule="auto"/>
        <w:rPr>
          <w:rFonts w:eastAsia="Source Sans Pro"/>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i/>
          <w:iCs/>
          <w:szCs w:val="17"/>
        </w:rPr>
        <w:t xml:space="preserve">, </w:t>
      </w:r>
      <w:r w:rsidR="00315997" w:rsidRPr="0024777B">
        <w:rPr>
          <w:i/>
          <w:szCs w:val="17"/>
        </w:rPr>
        <w:t>e.g.</w:t>
      </w:r>
      <w:r w:rsidR="00315997" w:rsidRPr="006A612F">
        <w:rPr>
          <w:szCs w:val="17"/>
        </w:rPr>
        <w:t xml:space="preserve">, Sanchez v. City of Chicago, 700 F.3d 919, 926 (7th Cir. 2012) (stating that </w:t>
      </w:r>
      <w:r w:rsidRPr="006A612F">
        <w:rPr>
          <w:szCs w:val="17"/>
        </w:rPr>
        <w:t>“</w:t>
      </w:r>
      <w:r w:rsidR="00315997" w:rsidRPr="006A612F">
        <w:rPr>
          <w:rFonts w:eastAsia="Source Sans Pro"/>
          <w:szCs w:val="17"/>
        </w:rPr>
        <w:t>it is possible to hold a named defendant liable for his failure to intervene vis-à-vis the excessive force employed by another officer, even if the plaintiff cannot identify the officer(s) who used excessive force on him</w:t>
      </w:r>
      <w:r w:rsidRPr="006A612F">
        <w:rPr>
          <w:rFonts w:eastAsia="Source Sans Pro"/>
          <w:szCs w:val="17"/>
        </w:rPr>
        <w:t>”</w:t>
      </w:r>
      <w:r w:rsidR="00315997" w:rsidRPr="006A612F">
        <w:rPr>
          <w:rFonts w:eastAsia="Source Sans Pro"/>
          <w:szCs w:val="17"/>
        </w:rPr>
        <w:t>).</w:t>
      </w:r>
    </w:p>
  </w:footnote>
  <w:footnote w:id="166">
    <w:p w14:paraId="2315E65B" w14:textId="13A72748"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Walker v. Jackson, 952 F. Supp. 2d 343, 351 (D. Mass. 2013) (</w:t>
      </w:r>
      <w:r w:rsidRPr="006A612F">
        <w:rPr>
          <w:szCs w:val="17"/>
        </w:rPr>
        <w:t>“</w:t>
      </w:r>
      <w:r w:rsidR="00315997" w:rsidRPr="006A612F">
        <w:rPr>
          <w:szCs w:val="17"/>
        </w:rPr>
        <w:t>Liability</w:t>
      </w:r>
      <w:r w:rsidR="00315997" w:rsidRPr="006A612F">
        <w:rPr>
          <w:rFonts w:eastAsia="Source Sans Pro"/>
          <w:szCs w:val="17"/>
        </w:rPr>
        <w:t xml:space="preserve"> for failure to act has most often been found when the defendant is in a supervisory position over the parties whose conduct plaintiff complains of. Even absent supervisory authority, however, a party</w:t>
      </w:r>
      <w:r w:rsidRPr="006A612F">
        <w:rPr>
          <w:rFonts w:eastAsia="Source Sans Pro"/>
          <w:szCs w:val="17"/>
        </w:rPr>
        <w:t>’</w:t>
      </w:r>
      <w:r w:rsidR="00315997" w:rsidRPr="006A612F">
        <w:rPr>
          <w:rFonts w:eastAsia="Source Sans Pro"/>
          <w:szCs w:val="17"/>
        </w:rPr>
        <w:t>s position of responsibility may impose on him a duty to intervene to prevent a constitutional violation.</w:t>
      </w:r>
      <w:r w:rsidRPr="006A612F">
        <w:rPr>
          <w:rFonts w:eastAsia="Source Sans Pro"/>
          <w:szCs w:val="17"/>
        </w:rPr>
        <w:t>”</w:t>
      </w:r>
      <w:r w:rsidR="00315997" w:rsidRPr="006A612F">
        <w:rPr>
          <w:rFonts w:eastAsia="Source Sans Pro"/>
          <w:szCs w:val="17"/>
        </w:rPr>
        <w:t xml:space="preserve"> (quoting Clark v. Taylor, 710 F.2d 4, 9 (1st Cir. 1983)</w:t>
      </w:r>
      <w:r w:rsidR="00315997" w:rsidRPr="006A612F">
        <w:rPr>
          <w:szCs w:val="17"/>
        </w:rPr>
        <w:t>)).</w:t>
      </w:r>
    </w:p>
  </w:footnote>
  <w:footnote w:id="167">
    <w:p w14:paraId="2EC95E2F" w14:textId="49870AE4"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Anderson v. Branen, 17 F.3d 552, 557 (2d Cir. 1994) (citations omitted); </w:t>
      </w:r>
      <w:r w:rsidR="00315997" w:rsidRPr="006A612F">
        <w:rPr>
          <w:i/>
          <w:iCs/>
          <w:szCs w:val="17"/>
        </w:rPr>
        <w:t xml:space="preserve">see also </w:t>
      </w:r>
      <w:r w:rsidR="00315997" w:rsidRPr="006A612F">
        <w:rPr>
          <w:szCs w:val="17"/>
        </w:rPr>
        <w:t>Jackson v. Mastrangelo, 405 F. Supp. 3d 488, 493 (W.D.N.Y. 2019) (</w:t>
      </w:r>
      <w:r w:rsidRPr="006A612F">
        <w:rPr>
          <w:szCs w:val="17"/>
        </w:rPr>
        <w:t>“</w:t>
      </w:r>
      <w:r w:rsidR="00315997" w:rsidRPr="006A612F">
        <w:rPr>
          <w:szCs w:val="17"/>
        </w:rPr>
        <w:t>A police officer therefore can be held liable for his failure to intervene if he or she observes the use of excessive force and has sufficient time to act but takes no steps to prevent it.</w:t>
      </w:r>
      <w:r w:rsidRPr="006A612F">
        <w:rPr>
          <w:szCs w:val="17"/>
        </w:rPr>
        <w:t>”</w:t>
      </w:r>
      <w:r w:rsidR="00315997" w:rsidRPr="006A612F">
        <w:rPr>
          <w:szCs w:val="17"/>
        </w:rPr>
        <w:t xml:space="preserve"> (quoting Merril v. Schell, 279 F.</w:t>
      </w:r>
      <w:r w:rsidR="006A612F">
        <w:rPr>
          <w:szCs w:val="17"/>
        </w:rPr>
        <w:t xml:space="preserve"> </w:t>
      </w:r>
      <w:r w:rsidR="00315997" w:rsidRPr="006A612F">
        <w:rPr>
          <w:szCs w:val="17"/>
        </w:rPr>
        <w:t>Supp</w:t>
      </w:r>
      <w:r w:rsidR="006A612F">
        <w:rPr>
          <w:szCs w:val="17"/>
        </w:rPr>
        <w:t>.</w:t>
      </w:r>
      <w:r w:rsidR="00315997" w:rsidRPr="006A612F">
        <w:rPr>
          <w:szCs w:val="17"/>
        </w:rPr>
        <w:t xml:space="preserve"> 3d 438, 444 (W.D.N.Y. 2017))); </w:t>
      </w:r>
      <w:r w:rsidR="00315997" w:rsidRPr="006A612F">
        <w:rPr>
          <w:i/>
          <w:iCs/>
          <w:szCs w:val="17"/>
        </w:rPr>
        <w:t>Branen</w:t>
      </w:r>
      <w:r w:rsidR="00315997" w:rsidRPr="006A612F">
        <w:rPr>
          <w:szCs w:val="17"/>
        </w:rPr>
        <w:t xml:space="preserve">, 17 F.3d at 556 (agreeing with the Plaintiffs-Appellants that </w:t>
      </w:r>
      <w:r w:rsidRPr="006A612F">
        <w:rPr>
          <w:szCs w:val="17"/>
        </w:rPr>
        <w:t>“</w:t>
      </w:r>
      <w:r w:rsidR="00315997" w:rsidRPr="006A612F">
        <w:rPr>
          <w:szCs w:val="17"/>
        </w:rPr>
        <w:t xml:space="preserve">the district court erred in refusing to include in its charge to the jury </w:t>
      </w:r>
      <w:r w:rsidRPr="006A612F">
        <w:rPr>
          <w:szCs w:val="17"/>
        </w:rPr>
        <w:t>. . .</w:t>
      </w:r>
      <w:r w:rsidR="00315997" w:rsidRPr="006A612F">
        <w:rPr>
          <w:szCs w:val="17"/>
        </w:rPr>
        <w:t xml:space="preserve"> [an] instruction that a law enforcement official has a duty to intervene when fellow officers are committing constitutional violations in his presence</w:t>
      </w:r>
      <w:r w:rsidRPr="006A612F">
        <w:rPr>
          <w:szCs w:val="17"/>
        </w:rPr>
        <w:t>”</w:t>
      </w:r>
      <w:r w:rsidR="00315997" w:rsidRPr="006A612F">
        <w:rPr>
          <w:szCs w:val="17"/>
        </w:rPr>
        <w:t xml:space="preserve">). </w:t>
      </w:r>
      <w:r w:rsidR="00315997" w:rsidRPr="006A612F">
        <w:rPr>
          <w:szCs w:val="17"/>
          <w:shd w:val="clear" w:color="auto" w:fill="FFFFFF"/>
        </w:rPr>
        <w:t xml:space="preserve">In </w:t>
      </w:r>
      <w:r w:rsidR="00315997" w:rsidRPr="006A612F">
        <w:rPr>
          <w:i/>
          <w:szCs w:val="17"/>
          <w:shd w:val="clear" w:color="auto" w:fill="FFFFFF"/>
        </w:rPr>
        <w:t>Anderson v. Branen</w:t>
      </w:r>
      <w:r w:rsidR="00315997" w:rsidRPr="006A612F">
        <w:rPr>
          <w:szCs w:val="17"/>
          <w:shd w:val="clear" w:color="auto" w:fill="FFFFFF"/>
        </w:rPr>
        <w:t xml:space="preserve">, the plaintiff alleged that </w:t>
      </w:r>
      <w:r w:rsidR="00315997" w:rsidRPr="006A612F">
        <w:rPr>
          <w:szCs w:val="17"/>
        </w:rPr>
        <w:t xml:space="preserve">two DEA agents, without provocation and without identifying themselves, approached him, </w:t>
      </w:r>
      <w:r w:rsidRPr="006A612F">
        <w:rPr>
          <w:szCs w:val="17"/>
        </w:rPr>
        <w:t>“</w:t>
      </w:r>
      <w:r w:rsidR="00315997" w:rsidRPr="006A612F">
        <w:rPr>
          <w:szCs w:val="17"/>
          <w:shd w:val="clear" w:color="auto" w:fill="FFFFFF"/>
        </w:rPr>
        <w:t>dragged him down the sidewalk and beat him</w:t>
      </w:r>
      <w:r w:rsidRPr="006A612F">
        <w:rPr>
          <w:szCs w:val="17"/>
          <w:shd w:val="clear" w:color="auto" w:fill="FFFFFF"/>
        </w:rPr>
        <w:t>”</w:t>
      </w:r>
      <w:r w:rsidR="00315997" w:rsidRPr="006A612F">
        <w:rPr>
          <w:szCs w:val="17"/>
          <w:shd w:val="clear" w:color="auto" w:fill="FFFFFF"/>
        </w:rPr>
        <w:t xml:space="preserve"> shouting </w:t>
      </w:r>
      <w:r w:rsidRPr="006A612F">
        <w:rPr>
          <w:szCs w:val="17"/>
          <w:shd w:val="clear" w:color="auto" w:fill="FFFFFF"/>
        </w:rPr>
        <w:t>“</w:t>
      </w:r>
      <w:r w:rsidR="00315997" w:rsidRPr="006A612F">
        <w:rPr>
          <w:szCs w:val="17"/>
          <w:shd w:val="clear" w:color="auto" w:fill="FFFFFF"/>
        </w:rPr>
        <w:t>homophobic epithets</w:t>
      </w:r>
      <w:r w:rsidRPr="006A612F">
        <w:rPr>
          <w:szCs w:val="17"/>
          <w:shd w:val="clear" w:color="auto" w:fill="FFFFFF"/>
        </w:rPr>
        <w:t>”</w:t>
      </w:r>
      <w:r w:rsidR="00315997" w:rsidRPr="006A612F">
        <w:rPr>
          <w:szCs w:val="17"/>
          <w:shd w:val="clear" w:color="auto" w:fill="FFFFFF"/>
        </w:rPr>
        <w:t xml:space="preserve"> and that another DEA agent watched the whole incident without intervening. </w:t>
      </w:r>
      <w:r w:rsidR="00315997" w:rsidRPr="0024777B">
        <w:rPr>
          <w:i/>
          <w:szCs w:val="17"/>
          <w:shd w:val="clear" w:color="auto" w:fill="FFFFFF"/>
        </w:rPr>
        <w:t>Id.</w:t>
      </w:r>
      <w:r w:rsidR="00315997" w:rsidRPr="006A612F">
        <w:rPr>
          <w:i/>
          <w:iCs/>
          <w:szCs w:val="17"/>
          <w:shd w:val="clear" w:color="auto" w:fill="FFFFFF"/>
        </w:rPr>
        <w:t xml:space="preserve"> </w:t>
      </w:r>
      <w:r w:rsidR="00315997" w:rsidRPr="006A612F">
        <w:rPr>
          <w:szCs w:val="17"/>
          <w:shd w:val="clear" w:color="auto" w:fill="FFFFFF"/>
        </w:rPr>
        <w:t xml:space="preserve">at 555. The Second Circuit held that </w:t>
      </w:r>
      <w:r w:rsidRPr="006A612F">
        <w:rPr>
          <w:szCs w:val="17"/>
        </w:rPr>
        <w:t>“</w:t>
      </w:r>
      <w:r w:rsidR="00315997" w:rsidRPr="006A612F">
        <w:rPr>
          <w:szCs w:val="17"/>
          <w:shd w:val="clear" w:color="auto" w:fill="FFFFFF"/>
        </w:rPr>
        <w:t>the district court erred in refusing to include in its charge to the jury their proffered instruction that a law enforcement official has a duty to intervene when fellow officers are committing constitutional violations in his presence.</w:t>
      </w:r>
      <w:r w:rsidRPr="006A612F">
        <w:rPr>
          <w:szCs w:val="17"/>
          <w:shd w:val="clear" w:color="auto" w:fill="FFFFFF"/>
        </w:rPr>
        <w:t>”</w:t>
      </w:r>
      <w:r w:rsidR="00315997" w:rsidRPr="006A612F">
        <w:rPr>
          <w:szCs w:val="17"/>
          <w:shd w:val="clear" w:color="auto" w:fill="FFFFFF"/>
        </w:rPr>
        <w:t xml:space="preserve"> </w:t>
      </w:r>
      <w:r w:rsidR="00315997" w:rsidRPr="0024777B">
        <w:rPr>
          <w:i/>
          <w:szCs w:val="17"/>
          <w:shd w:val="clear" w:color="auto" w:fill="FFFFFF"/>
        </w:rPr>
        <w:t>Id.</w:t>
      </w:r>
      <w:r w:rsidR="00315997" w:rsidRPr="006A612F">
        <w:rPr>
          <w:i/>
          <w:iCs/>
          <w:szCs w:val="17"/>
          <w:shd w:val="clear" w:color="auto" w:fill="FFFFFF"/>
        </w:rPr>
        <w:t xml:space="preserve"> </w:t>
      </w:r>
      <w:r w:rsidR="00315997" w:rsidRPr="006A612F">
        <w:rPr>
          <w:szCs w:val="17"/>
          <w:shd w:val="clear" w:color="auto" w:fill="FFFFFF"/>
        </w:rPr>
        <w:t>at 556.</w:t>
      </w:r>
      <w:r w:rsidR="006834B3" w:rsidRPr="006A612F">
        <w:rPr>
          <w:szCs w:val="17"/>
          <w:shd w:val="clear" w:color="auto" w:fill="FFFFFF"/>
        </w:rPr>
        <w:t xml:space="preserve"> </w:t>
      </w:r>
      <w:r w:rsidR="00315997" w:rsidRPr="006A612F">
        <w:rPr>
          <w:color w:val="000000" w:themeColor="text1"/>
          <w:szCs w:val="17"/>
        </w:rPr>
        <w:t xml:space="preserve">The </w:t>
      </w:r>
      <w:r w:rsidRPr="006A612F">
        <w:rPr>
          <w:color w:val="000000" w:themeColor="text1"/>
          <w:szCs w:val="17"/>
        </w:rPr>
        <w:t>“</w:t>
      </w:r>
      <w:r w:rsidR="00315997" w:rsidRPr="006A612F">
        <w:rPr>
          <w:color w:val="000000" w:themeColor="text1"/>
          <w:szCs w:val="17"/>
        </w:rPr>
        <w:t>failure to intervene</w:t>
      </w:r>
      <w:r w:rsidRPr="006A612F">
        <w:rPr>
          <w:color w:val="000000" w:themeColor="text1"/>
          <w:szCs w:val="17"/>
        </w:rPr>
        <w:t>”</w:t>
      </w:r>
      <w:r w:rsidR="00315997" w:rsidRPr="006A612F">
        <w:rPr>
          <w:color w:val="000000" w:themeColor="text1"/>
          <w:szCs w:val="17"/>
        </w:rPr>
        <w:t xml:space="preserve"> doctrine, in many respects, sounds like a </w:t>
      </w:r>
      <w:r w:rsidR="00315997" w:rsidRPr="006A612F">
        <w:rPr>
          <w:i/>
          <w:iCs/>
          <w:color w:val="000000" w:themeColor="text1"/>
          <w:szCs w:val="17"/>
        </w:rPr>
        <w:t>DeShaney</w:t>
      </w:r>
      <w:r w:rsidR="00315997" w:rsidRPr="006A612F">
        <w:rPr>
          <w:color w:val="000000" w:themeColor="text1"/>
          <w:szCs w:val="17"/>
        </w:rPr>
        <w:t xml:space="preserve"> claim. However, these claims are not the same. In </w:t>
      </w:r>
      <w:r w:rsidR="00315997" w:rsidRPr="006A612F">
        <w:rPr>
          <w:i/>
          <w:color w:val="000000" w:themeColor="text1"/>
          <w:szCs w:val="17"/>
        </w:rPr>
        <w:t>DeShaney v. Winnebago County Department of Social Services</w:t>
      </w:r>
      <w:r w:rsidR="00315997" w:rsidRPr="006A612F">
        <w:rPr>
          <w:color w:val="000000" w:themeColor="text1"/>
          <w:szCs w:val="17"/>
        </w:rPr>
        <w:t xml:space="preserve">, four-year-old boy Joshua and his mother brought a § 1983 claim arguing that the Winnebago County Department of Social Services </w:t>
      </w:r>
      <w:r w:rsidRPr="006A612F">
        <w:rPr>
          <w:color w:val="000000" w:themeColor="text1"/>
          <w:szCs w:val="17"/>
        </w:rPr>
        <w:t>“</w:t>
      </w:r>
      <w:r w:rsidR="00315997" w:rsidRPr="006A612F">
        <w:rPr>
          <w:color w:val="000000" w:themeColor="text1"/>
          <w:szCs w:val="17"/>
        </w:rPr>
        <w:t>had deprived Joshua of his liberty without due process of law, in violation of his rights under the Fourteenth Amendment, by failing to intervene to protect him against a risk of violence at his father</w:t>
      </w:r>
      <w:r w:rsidRPr="006A612F">
        <w:rPr>
          <w:color w:val="000000" w:themeColor="text1"/>
          <w:szCs w:val="17"/>
        </w:rPr>
        <w:t>’</w:t>
      </w:r>
      <w:r w:rsidR="00315997" w:rsidRPr="006A612F">
        <w:rPr>
          <w:color w:val="000000" w:themeColor="text1"/>
          <w:szCs w:val="17"/>
        </w:rPr>
        <w:t>s hands of which they knew or should have known.</w:t>
      </w:r>
      <w:r w:rsidRPr="006A612F">
        <w:rPr>
          <w:color w:val="000000" w:themeColor="text1"/>
          <w:szCs w:val="17"/>
        </w:rPr>
        <w:t>”</w:t>
      </w:r>
      <w:r w:rsidR="00315997" w:rsidRPr="006A612F">
        <w:rPr>
          <w:color w:val="000000" w:themeColor="text1"/>
          <w:szCs w:val="17"/>
        </w:rPr>
        <w:t xml:space="preserve"> 489 U.S. 189, 193 (1989). The Supreme Court found that the State only owed a duty to act and intervene in certain limited situations. </w:t>
      </w:r>
      <w:r w:rsidR="00315997" w:rsidRPr="0024777B">
        <w:rPr>
          <w:i/>
          <w:color w:val="000000" w:themeColor="text1"/>
          <w:szCs w:val="17"/>
        </w:rPr>
        <w:t>Id.</w:t>
      </w:r>
      <w:r w:rsidR="00315997" w:rsidRPr="006A612F">
        <w:rPr>
          <w:color w:val="000000" w:themeColor="text1"/>
          <w:szCs w:val="17"/>
        </w:rPr>
        <w:t xml:space="preserve"> at 200. Under a failure to train theory, a plaintiff may allege deprivation of any constitutional right. </w:t>
      </w:r>
      <w:r w:rsidR="00315997" w:rsidRPr="0024777B">
        <w:rPr>
          <w:i/>
          <w:color w:val="000000" w:themeColor="text1"/>
          <w:szCs w:val="17"/>
        </w:rPr>
        <w:t>E.g.</w:t>
      </w:r>
      <w:r w:rsidR="00315997" w:rsidRPr="006A612F">
        <w:rPr>
          <w:color w:val="000000" w:themeColor="text1"/>
          <w:szCs w:val="17"/>
        </w:rPr>
        <w:t>,</w:t>
      </w:r>
      <w:r w:rsidR="00315997" w:rsidRPr="006A612F">
        <w:rPr>
          <w:i/>
          <w:iCs/>
          <w:color w:val="000000" w:themeColor="text1"/>
          <w:szCs w:val="17"/>
        </w:rPr>
        <w:t xml:space="preserve"> </w:t>
      </w:r>
      <w:r w:rsidR="00315997" w:rsidRPr="006A612F">
        <w:rPr>
          <w:color w:val="000000" w:themeColor="text1"/>
          <w:szCs w:val="17"/>
        </w:rPr>
        <w:t xml:space="preserve">City of Canton v. Harris, 489 U.S. 378, 378 (1989). A </w:t>
      </w:r>
      <w:r w:rsidR="00315997" w:rsidRPr="006A612F">
        <w:rPr>
          <w:i/>
          <w:iCs/>
          <w:color w:val="000000" w:themeColor="text1"/>
          <w:szCs w:val="17"/>
        </w:rPr>
        <w:t>DeShaney</w:t>
      </w:r>
      <w:r w:rsidR="00315997" w:rsidRPr="006A612F">
        <w:rPr>
          <w:color w:val="000000" w:themeColor="text1"/>
          <w:szCs w:val="17"/>
        </w:rPr>
        <w:t xml:space="preserve"> claim is specific to the Fourteenth Amendment and involves the plaintiff alleging that the defendant</w:t>
      </w:r>
      <w:r w:rsidRPr="006A612F">
        <w:rPr>
          <w:color w:val="000000" w:themeColor="text1"/>
          <w:szCs w:val="17"/>
        </w:rPr>
        <w:t>’</w:t>
      </w:r>
      <w:r w:rsidR="00315997" w:rsidRPr="006A612F">
        <w:rPr>
          <w:color w:val="000000" w:themeColor="text1"/>
          <w:szCs w:val="17"/>
        </w:rPr>
        <w:t xml:space="preserve">s inaction resulted in a deprivation of their liberty interest. </w:t>
      </w:r>
      <w:r w:rsidR="00315997" w:rsidRPr="006A612F">
        <w:rPr>
          <w:i/>
          <w:iCs/>
          <w:color w:val="000000" w:themeColor="text1"/>
          <w:szCs w:val="17"/>
        </w:rPr>
        <w:t>DeShaney</w:t>
      </w:r>
      <w:r w:rsidR="00315997" w:rsidRPr="006A612F">
        <w:rPr>
          <w:color w:val="000000" w:themeColor="text1"/>
          <w:szCs w:val="17"/>
        </w:rPr>
        <w:t>, 489 U.S.</w:t>
      </w:r>
      <w:r w:rsidR="00315997" w:rsidRPr="006A612F">
        <w:rPr>
          <w:i/>
          <w:iCs/>
          <w:color w:val="000000" w:themeColor="text1"/>
          <w:szCs w:val="17"/>
        </w:rPr>
        <w:t xml:space="preserve"> </w:t>
      </w:r>
      <w:r w:rsidR="00315997" w:rsidRPr="006A612F">
        <w:rPr>
          <w:color w:val="000000" w:themeColor="text1"/>
          <w:szCs w:val="17"/>
        </w:rPr>
        <w:t xml:space="preserve">at 191. Both claims involve questions of causation, but the relevant causation questions come from different sources. The causation question in a failure to intervene claim stems from the </w:t>
      </w:r>
      <w:r w:rsidRPr="006A612F">
        <w:rPr>
          <w:color w:val="000000" w:themeColor="text1"/>
          <w:szCs w:val="17"/>
        </w:rPr>
        <w:t>“</w:t>
      </w:r>
      <w:r w:rsidR="00315997" w:rsidRPr="006A612F">
        <w:rPr>
          <w:color w:val="000000" w:themeColor="text1"/>
          <w:szCs w:val="17"/>
        </w:rPr>
        <w:t>subjects or causes to be subjected</w:t>
      </w:r>
      <w:r w:rsidRPr="006A612F">
        <w:rPr>
          <w:color w:val="000000" w:themeColor="text1"/>
          <w:szCs w:val="17"/>
        </w:rPr>
        <w:t>”</w:t>
      </w:r>
      <w:r w:rsidR="00315997" w:rsidRPr="006A612F">
        <w:rPr>
          <w:color w:val="000000" w:themeColor="text1"/>
          <w:szCs w:val="17"/>
        </w:rPr>
        <w:t xml:space="preserve"> language in § 1983. In contrast, the causation issue in </w:t>
      </w:r>
      <w:r w:rsidR="00315997" w:rsidRPr="006A612F">
        <w:rPr>
          <w:i/>
          <w:iCs/>
          <w:color w:val="000000" w:themeColor="text1"/>
          <w:szCs w:val="17"/>
        </w:rPr>
        <w:t>DeShaney</w:t>
      </w:r>
      <w:r w:rsidR="00315997" w:rsidRPr="006A612F">
        <w:rPr>
          <w:color w:val="000000" w:themeColor="text1"/>
          <w:szCs w:val="17"/>
        </w:rPr>
        <w:t xml:space="preserve"> claims arises from the </w:t>
      </w:r>
      <w:r w:rsidRPr="006A612F">
        <w:rPr>
          <w:color w:val="000000" w:themeColor="text1"/>
          <w:szCs w:val="17"/>
        </w:rPr>
        <w:t>“</w:t>
      </w:r>
      <w:r w:rsidR="00315997" w:rsidRPr="006A612F">
        <w:rPr>
          <w:color w:val="000000" w:themeColor="text1"/>
          <w:szCs w:val="17"/>
        </w:rPr>
        <w:t>shall deprive</w:t>
      </w:r>
      <w:r w:rsidRPr="006A612F">
        <w:rPr>
          <w:color w:val="000000" w:themeColor="text1"/>
          <w:szCs w:val="17"/>
        </w:rPr>
        <w:t>”</w:t>
      </w:r>
      <w:r w:rsidR="00315997" w:rsidRPr="006A612F">
        <w:rPr>
          <w:color w:val="000000" w:themeColor="text1"/>
          <w:szCs w:val="17"/>
        </w:rPr>
        <w:t xml:space="preserve"> language in the Fourteenth Amendment.</w:t>
      </w:r>
    </w:p>
  </w:footnote>
  <w:footnote w:id="168">
    <w:p w14:paraId="16DA3AA5" w14:textId="5929B123"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Branen</w:t>
      </w:r>
      <w:r w:rsidR="00315997" w:rsidRPr="006A612F">
        <w:rPr>
          <w:szCs w:val="17"/>
        </w:rPr>
        <w:t>, 17 F.3d at 557.</w:t>
      </w:r>
    </w:p>
  </w:footnote>
  <w:footnote w:id="169">
    <w:p w14:paraId="0B76F2E3" w14:textId="06792D7A" w:rsidR="00315997" w:rsidRPr="006A612F"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684 F.2d 422 (6th Cir. 1982).</w:t>
      </w:r>
    </w:p>
  </w:footnote>
  <w:footnote w:id="170">
    <w:p w14:paraId="13CF76CF" w14:textId="16814895"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423–24.</w:t>
      </w:r>
    </w:p>
  </w:footnote>
  <w:footnote w:id="171">
    <w:p w14:paraId="7E2EF089" w14:textId="2EC2717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423–25.</w:t>
      </w:r>
    </w:p>
  </w:footnote>
  <w:footnote w:id="172">
    <w:p w14:paraId="69CEB233" w14:textId="57E8752E"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424.</w:t>
      </w:r>
    </w:p>
  </w:footnote>
  <w:footnote w:id="173">
    <w:p w14:paraId="3997473D" w14:textId="6EC84E9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424–25.</w:t>
      </w:r>
    </w:p>
  </w:footnote>
  <w:footnote w:id="174">
    <w:p w14:paraId="7F904172" w14:textId="50D8EEC2"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425.</w:t>
      </w:r>
    </w:p>
  </w:footnote>
  <w:footnote w:id="175">
    <w:p w14:paraId="7B94BA89" w14:textId="7B2F896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426.</w:t>
      </w:r>
    </w:p>
  </w:footnote>
  <w:footnote w:id="176">
    <w:p w14:paraId="13C50FA2" w14:textId="6D66DE1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426–27.</w:t>
      </w:r>
    </w:p>
  </w:footnote>
  <w:footnote w:id="177">
    <w:p w14:paraId="09F5890E" w14:textId="171AC96D"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w:t>
      </w:r>
      <w:r w:rsidR="00315997" w:rsidRPr="0024777B">
        <w:rPr>
          <w:i/>
          <w:szCs w:val="17"/>
        </w:rPr>
        <w:t>id.</w:t>
      </w:r>
      <w:r w:rsidR="00315997" w:rsidRPr="006A612F">
        <w:rPr>
          <w:szCs w:val="17"/>
        </w:rPr>
        <w:t xml:space="preserve"> at 426 (noting that a failure to intervene claim requires, at a minimum, proof that the </w:t>
      </w:r>
      <w:r w:rsidRPr="006A612F">
        <w:rPr>
          <w:szCs w:val="17"/>
        </w:rPr>
        <w:t>“</w:t>
      </w:r>
      <w:r w:rsidR="00315997" w:rsidRPr="006A612F">
        <w:rPr>
          <w:szCs w:val="17"/>
        </w:rPr>
        <w:t>defendants were present while the assault or other wrongs were being committed</w:t>
      </w:r>
      <w:r w:rsidRPr="006A612F">
        <w:rPr>
          <w:szCs w:val="17"/>
        </w:rPr>
        <w:t>”</w:t>
      </w:r>
      <w:r w:rsidR="00315997" w:rsidRPr="006A612F">
        <w:rPr>
          <w:szCs w:val="17"/>
        </w:rPr>
        <w:t xml:space="preserve">); Colbert v. City of Chicago, 851 F.3d 649, 659–60 (7th Cir. 2017) (noting that under a failure to intervene theory </w:t>
      </w:r>
      <w:r w:rsidRPr="006A612F">
        <w:rPr>
          <w:szCs w:val="17"/>
        </w:rPr>
        <w:t>“</w:t>
      </w:r>
      <w:r w:rsidR="00315997" w:rsidRPr="006A612F">
        <w:rPr>
          <w:szCs w:val="17"/>
          <w:shd w:val="clear" w:color="auto" w:fill="FFFFFF"/>
        </w:rPr>
        <w:t>a plaintiff still must make an individual identification of the officers who failed to act</w:t>
      </w:r>
      <w:r w:rsidRPr="006A612F">
        <w:rPr>
          <w:szCs w:val="17"/>
          <w:shd w:val="clear" w:color="auto" w:fill="FFFFFF"/>
        </w:rPr>
        <w:t>”</w:t>
      </w:r>
      <w:r w:rsidR="00315997" w:rsidRPr="006A612F">
        <w:rPr>
          <w:szCs w:val="17"/>
          <w:shd w:val="clear" w:color="auto" w:fill="FFFFFF"/>
        </w:rPr>
        <w:t>).</w:t>
      </w:r>
    </w:p>
  </w:footnote>
  <w:footnote w:id="178">
    <w:p w14:paraId="2B979157" w14:textId="2884A081" w:rsidR="00315997" w:rsidRPr="006A612F" w:rsidRDefault="00BF278E" w:rsidP="00AA6ED0">
      <w:pPr>
        <w:pStyle w:val="FootNote"/>
        <w:spacing w:line="240" w:lineRule="auto"/>
        <w:rPr>
          <w:iCs/>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w:t>
      </w:r>
      <w:r w:rsidR="00315997" w:rsidRPr="006A612F">
        <w:rPr>
          <w:i/>
          <w:iCs/>
          <w:szCs w:val="17"/>
        </w:rPr>
        <w:t>Colbert</w:t>
      </w:r>
      <w:r w:rsidR="00315997" w:rsidRPr="006A612F">
        <w:rPr>
          <w:szCs w:val="17"/>
        </w:rPr>
        <w:t>,</w:t>
      </w:r>
      <w:r w:rsidR="00315997" w:rsidRPr="006A612F">
        <w:rPr>
          <w:i/>
          <w:iCs/>
          <w:szCs w:val="17"/>
        </w:rPr>
        <w:t xml:space="preserve"> </w:t>
      </w:r>
      <w:r w:rsidR="00315997" w:rsidRPr="006A612F">
        <w:rPr>
          <w:szCs w:val="17"/>
        </w:rPr>
        <w:t xml:space="preserve">851 F.3d at 658 (noting that the plaintiff could have alleged that the officers had conspired </w:t>
      </w:r>
      <w:r w:rsidRPr="006A612F">
        <w:rPr>
          <w:szCs w:val="17"/>
        </w:rPr>
        <w:t>“</w:t>
      </w:r>
      <w:r w:rsidR="00315997" w:rsidRPr="006A612F">
        <w:rPr>
          <w:szCs w:val="17"/>
        </w:rPr>
        <w:t>to conceal the identities of those responsible for the damage</w:t>
      </w:r>
      <w:r w:rsidRPr="006A612F">
        <w:rPr>
          <w:szCs w:val="17"/>
        </w:rPr>
        <w:t>”</w:t>
      </w:r>
      <w:r w:rsidR="00315997" w:rsidRPr="006A612F">
        <w:rPr>
          <w:szCs w:val="17"/>
        </w:rPr>
        <w:t>);</w:t>
      </w:r>
      <w:r w:rsidR="00315997" w:rsidRPr="006A612F">
        <w:rPr>
          <w:i/>
          <w:iCs/>
          <w:szCs w:val="17"/>
        </w:rPr>
        <w:t xml:space="preserve"> see also </w:t>
      </w:r>
      <w:r w:rsidR="00315997" w:rsidRPr="006A612F">
        <w:rPr>
          <w:szCs w:val="17"/>
        </w:rPr>
        <w:t>Hessel v. O</w:t>
      </w:r>
      <w:r w:rsidRPr="006A612F">
        <w:rPr>
          <w:szCs w:val="17"/>
        </w:rPr>
        <w:t>’</w:t>
      </w:r>
      <w:r w:rsidR="00315997" w:rsidRPr="006A612F">
        <w:rPr>
          <w:szCs w:val="17"/>
        </w:rPr>
        <w:t>Hearn</w:t>
      </w:r>
      <w:r w:rsidR="00315997" w:rsidRPr="006A612F">
        <w:rPr>
          <w:i/>
          <w:iCs/>
          <w:szCs w:val="17"/>
        </w:rPr>
        <w:t xml:space="preserve">, </w:t>
      </w:r>
      <w:r w:rsidR="00315997" w:rsidRPr="006A612F">
        <w:rPr>
          <w:szCs w:val="17"/>
        </w:rPr>
        <w:t xml:space="preserve">977 F.2d 299, 305 (7th Cir. 1992) (recognizing that </w:t>
      </w:r>
      <w:r w:rsidRPr="006A612F">
        <w:rPr>
          <w:szCs w:val="17"/>
        </w:rPr>
        <w:t>“</w:t>
      </w:r>
      <w:r w:rsidR="00315997" w:rsidRPr="006A612F">
        <w:rPr>
          <w:szCs w:val="17"/>
        </w:rPr>
        <w:t>plaintiffs are in a bind</w:t>
      </w:r>
      <w:r w:rsidRPr="006A612F">
        <w:rPr>
          <w:szCs w:val="17"/>
        </w:rPr>
        <w:t>”</w:t>
      </w:r>
      <w:r w:rsidR="00315997" w:rsidRPr="006A612F">
        <w:rPr>
          <w:szCs w:val="17"/>
        </w:rPr>
        <w:t xml:space="preserve"> because </w:t>
      </w:r>
      <w:r w:rsidRPr="006A612F">
        <w:rPr>
          <w:szCs w:val="17"/>
        </w:rPr>
        <w:t>“</w:t>
      </w:r>
      <w:r w:rsidR="00315997" w:rsidRPr="006A612F">
        <w:rPr>
          <w:szCs w:val="17"/>
        </w:rPr>
        <w:t>each of the defendants can plausibly deny guilt</w:t>
      </w:r>
      <w:r w:rsidRPr="006A612F">
        <w:rPr>
          <w:szCs w:val="17"/>
        </w:rPr>
        <w:t>”</w:t>
      </w:r>
      <w:r w:rsidR="00315997" w:rsidRPr="006A612F">
        <w:rPr>
          <w:szCs w:val="17"/>
        </w:rPr>
        <w:t>).</w:t>
      </w:r>
    </w:p>
  </w:footnote>
  <w:footnote w:id="179">
    <w:p w14:paraId="130DD6BA" w14:textId="5020007E" w:rsidR="00315997" w:rsidRPr="006A612F" w:rsidRDefault="00BF278E" w:rsidP="00AA6ED0">
      <w:pPr>
        <w:pStyle w:val="FootNote"/>
        <w:spacing w:line="240" w:lineRule="auto"/>
        <w:rPr>
          <w:b/>
          <w:bCs/>
        </w:rPr>
      </w:pPr>
      <w:r w:rsidRPr="006A612F">
        <w:rPr>
          <w:iCs/>
          <w:szCs w:val="17"/>
        </w:rPr>
        <w:fldChar w:fldCharType="begin"/>
      </w:r>
      <w:r w:rsidRPr="006A612F">
        <w:rPr>
          <w:iCs/>
          <w:szCs w:val="17"/>
        </w:rPr>
        <w:instrText xml:space="preserve"> ADVANCE \r12 \* MERGEFORMAT </w:instrText>
      </w:r>
      <w:r w:rsidRPr="006A612F">
        <w:rPr>
          <w:iCs/>
          <w:szCs w:val="17"/>
        </w:rPr>
        <w:fldChar w:fldCharType="end"/>
      </w:r>
      <w:r w:rsidR="00315997" w:rsidRPr="00732F34">
        <w:rPr>
          <w:rStyle w:val="NoterefInNote"/>
        </w:rPr>
        <w:footnoteRef/>
      </w:r>
      <w:r w:rsidRPr="00732F34">
        <w:rPr>
          <w:szCs w:val="17"/>
        </w:rPr>
        <w:t>.</w:t>
      </w:r>
      <w:r w:rsidRPr="006A612F">
        <w:rPr>
          <w:iCs/>
          <w:szCs w:val="17"/>
        </w:rPr>
        <w:fldChar w:fldCharType="begin"/>
      </w:r>
      <w:r w:rsidRPr="006A612F">
        <w:rPr>
          <w:iCs/>
          <w:szCs w:val="17"/>
        </w:rPr>
        <w:instrText xml:space="preserve"> ADVANCE \r4 \* MERGEFORMAT </w:instrText>
      </w:r>
      <w:r w:rsidRPr="006A612F">
        <w:rPr>
          <w:iCs/>
          <w:szCs w:val="17"/>
        </w:rPr>
        <w:fldChar w:fldCharType="end"/>
      </w:r>
      <w:r w:rsidR="00315997" w:rsidRPr="006A612F">
        <w:rPr>
          <w:iCs/>
          <w:szCs w:val="17"/>
        </w:rPr>
        <w:t>851 F.3d 649 (7th Cir. 2017).</w:t>
      </w:r>
    </w:p>
  </w:footnote>
  <w:footnote w:id="180">
    <w:p w14:paraId="0AFE91A2" w14:textId="4D0E9BA8"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i/>
          <w:szCs w:val="17"/>
        </w:rPr>
        <w:t xml:space="preserve"> </w:t>
      </w:r>
      <w:r w:rsidR="00315997" w:rsidRPr="006A612F">
        <w:rPr>
          <w:iCs/>
          <w:szCs w:val="17"/>
        </w:rPr>
        <w:t>at 656–57. Police</w:t>
      </w:r>
      <w:r w:rsidR="00315997" w:rsidRPr="006A612F">
        <w:rPr>
          <w:szCs w:val="17"/>
        </w:rPr>
        <w:t xml:space="preserve"> received a tip that Jai Crutcher, who was living with the plaintiff, was in possession of firearms, in violation of the conditions of his supervised release. </w:t>
      </w:r>
      <w:r w:rsidR="00315997" w:rsidRPr="0024777B">
        <w:rPr>
          <w:i/>
          <w:szCs w:val="17"/>
        </w:rPr>
        <w:t>Id.</w:t>
      </w:r>
      <w:r w:rsidR="00315997" w:rsidRPr="006A612F">
        <w:rPr>
          <w:i/>
          <w:iCs/>
          <w:szCs w:val="17"/>
        </w:rPr>
        <w:t xml:space="preserve"> </w:t>
      </w:r>
      <w:r w:rsidR="00315997" w:rsidRPr="006A612F">
        <w:rPr>
          <w:szCs w:val="17"/>
        </w:rPr>
        <w:t>at 652 &amp; n.1. On March 31, 2011, ten officials went to Colbert</w:t>
      </w:r>
      <w:r w:rsidRPr="006A612F">
        <w:rPr>
          <w:szCs w:val="17"/>
        </w:rPr>
        <w:t>’</w:t>
      </w:r>
      <w:r w:rsidR="00315997" w:rsidRPr="006A612F">
        <w:rPr>
          <w:szCs w:val="17"/>
        </w:rPr>
        <w:t xml:space="preserve">s home to conduct a </w:t>
      </w:r>
      <w:r w:rsidRPr="006A612F">
        <w:rPr>
          <w:szCs w:val="17"/>
        </w:rPr>
        <w:t>“</w:t>
      </w:r>
      <w:r w:rsidR="00315997" w:rsidRPr="006A612F">
        <w:rPr>
          <w:szCs w:val="17"/>
        </w:rPr>
        <w:t>parole check.</w:t>
      </w:r>
      <w:r w:rsidRPr="006A612F">
        <w:rPr>
          <w:szCs w:val="17"/>
        </w:rPr>
        <w:t>”</w:t>
      </w:r>
      <w:r w:rsidR="00315997" w:rsidRPr="006A612F">
        <w:rPr>
          <w:szCs w:val="17"/>
        </w:rPr>
        <w:t xml:space="preserve"> The police handcuffed Crutcher and Colbert and began to search the kitchen, bedrooms, and basement while neither were permitted to observe. Colbert alleged that the officers caused substantial damage to his house during the search including putting holes in walls, ripping out installation, destroying furniture, and tracking fecal matter throughout the house. </w:t>
      </w:r>
      <w:r w:rsidR="00315997" w:rsidRPr="0024777B">
        <w:rPr>
          <w:i/>
          <w:szCs w:val="17"/>
        </w:rPr>
        <w:t>Id.</w:t>
      </w:r>
      <w:r w:rsidR="00315997" w:rsidRPr="006A612F">
        <w:rPr>
          <w:i/>
          <w:iCs/>
          <w:szCs w:val="17"/>
        </w:rPr>
        <w:t xml:space="preserve"> </w:t>
      </w:r>
      <w:r w:rsidR="00315997" w:rsidRPr="006A612F">
        <w:rPr>
          <w:szCs w:val="17"/>
        </w:rPr>
        <w:t xml:space="preserve">at 652. Unfortunately, for Colbert, he was unable to identify any of the officers who carried out the damage. </w:t>
      </w:r>
      <w:r w:rsidR="00315997" w:rsidRPr="0024777B">
        <w:rPr>
          <w:i/>
          <w:szCs w:val="17"/>
        </w:rPr>
        <w:t>Id.</w:t>
      </w:r>
      <w:r w:rsidR="00315997" w:rsidRPr="006A612F">
        <w:rPr>
          <w:i/>
          <w:iCs/>
          <w:szCs w:val="17"/>
        </w:rPr>
        <w:t xml:space="preserve"> </w:t>
      </w:r>
      <w:r w:rsidR="00315997" w:rsidRPr="006A612F">
        <w:rPr>
          <w:szCs w:val="17"/>
        </w:rPr>
        <w:t>at 657. The civil rights allegations included violations of Colbert</w:t>
      </w:r>
      <w:r w:rsidRPr="006A612F">
        <w:rPr>
          <w:szCs w:val="17"/>
        </w:rPr>
        <w:t>’</w:t>
      </w:r>
      <w:r w:rsidR="00315997" w:rsidRPr="006A612F">
        <w:rPr>
          <w:szCs w:val="17"/>
        </w:rPr>
        <w:t>s Fourth Amendment rights as well as false arrest. Both sides moved for summary judgment; the district court granted the defendants</w:t>
      </w:r>
      <w:r w:rsidRPr="006A612F">
        <w:rPr>
          <w:szCs w:val="17"/>
        </w:rPr>
        <w:t>’</w:t>
      </w:r>
      <w:r w:rsidR="00315997" w:rsidRPr="006A612F">
        <w:rPr>
          <w:szCs w:val="17"/>
        </w:rPr>
        <w:t xml:space="preserve"> motion on all claims and dismissed the case altogether. The plaintiff then appealed to the Court of Appeals. </w:t>
      </w:r>
      <w:r w:rsidR="00315997" w:rsidRPr="0024777B">
        <w:rPr>
          <w:i/>
          <w:szCs w:val="17"/>
        </w:rPr>
        <w:t>Id.</w:t>
      </w:r>
      <w:r w:rsidR="00315997" w:rsidRPr="006A612F">
        <w:rPr>
          <w:i/>
          <w:iCs/>
          <w:szCs w:val="17"/>
        </w:rPr>
        <w:t xml:space="preserve"> </w:t>
      </w:r>
      <w:r w:rsidR="00315997" w:rsidRPr="006A612F">
        <w:rPr>
          <w:szCs w:val="17"/>
        </w:rPr>
        <w:t>at 654.</w:t>
      </w:r>
    </w:p>
  </w:footnote>
  <w:footnote w:id="181">
    <w:p w14:paraId="2BA05664" w14:textId="6C1D6A95"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657.</w:t>
      </w:r>
    </w:p>
  </w:footnote>
  <w:footnote w:id="182">
    <w:p w14:paraId="15E9E944" w14:textId="0823CFC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Colbert v. Willingham, No. 13-CV-2397, 2015 WL 3397035, at *12 (N.D. Ill. May 26, 2015), </w:t>
      </w:r>
      <w:r w:rsidR="00315997" w:rsidRPr="006A612F">
        <w:rPr>
          <w:i/>
          <w:iCs/>
          <w:szCs w:val="17"/>
        </w:rPr>
        <w:t>aff</w:t>
      </w:r>
      <w:r w:rsidRPr="006A612F">
        <w:rPr>
          <w:i/>
          <w:iCs/>
          <w:szCs w:val="17"/>
        </w:rPr>
        <w:t>’</w:t>
      </w:r>
      <w:r w:rsidR="00315997" w:rsidRPr="006A612F">
        <w:rPr>
          <w:i/>
          <w:iCs/>
          <w:szCs w:val="17"/>
        </w:rPr>
        <w:t>d sub nom.</w:t>
      </w:r>
      <w:r w:rsidR="00315997" w:rsidRPr="006A612F">
        <w:rPr>
          <w:szCs w:val="17"/>
        </w:rPr>
        <w:t> Colbert v. City of Chicago, 851 F.3d 649 (7th Cir. 2017).</w:t>
      </w:r>
    </w:p>
  </w:footnote>
  <w:footnote w:id="183">
    <w:p w14:paraId="49A6A2F4" w14:textId="112D387A"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 xml:space="preserve">at *13. Interestingly, Colbert only sued four of the ten officers who were present at the search. The trial court specifically noted that </w:t>
      </w:r>
      <w:r w:rsidRPr="006A612F">
        <w:rPr>
          <w:szCs w:val="17"/>
          <w:shd w:val="clear" w:color="auto" w:fill="FFFFFF"/>
        </w:rPr>
        <w:t>“</w:t>
      </w:r>
      <w:r w:rsidR="00315997" w:rsidRPr="006A612F">
        <w:rPr>
          <w:szCs w:val="17"/>
          <w:shd w:val="clear" w:color="auto" w:fill="FFFFFF"/>
        </w:rPr>
        <w:t>we may assume that the property damage was caused by one or more of the 10 or more officers who searched Mr. Colbert</w:t>
      </w:r>
      <w:r w:rsidRPr="006A612F">
        <w:rPr>
          <w:szCs w:val="17"/>
          <w:shd w:val="clear" w:color="auto" w:fill="FFFFFF"/>
        </w:rPr>
        <w:t>’</w:t>
      </w:r>
      <w:r w:rsidR="00315997" w:rsidRPr="006A612F">
        <w:rPr>
          <w:szCs w:val="17"/>
          <w:shd w:val="clear" w:color="auto" w:fill="FFFFFF"/>
        </w:rPr>
        <w:t>s home</w:t>
      </w:r>
      <w:r w:rsidRPr="006A612F">
        <w:rPr>
          <w:szCs w:val="17"/>
          <w:shd w:val="clear" w:color="auto" w:fill="FFFFFF"/>
        </w:rPr>
        <w:t>”</w:t>
      </w:r>
      <w:r w:rsidR="00315997" w:rsidRPr="006A612F">
        <w:rPr>
          <w:szCs w:val="17"/>
          <w:shd w:val="clear" w:color="auto" w:fill="FFFFFF"/>
        </w:rPr>
        <w:t xml:space="preserve"> but that assumption </w:t>
      </w:r>
      <w:r w:rsidRPr="006A612F">
        <w:rPr>
          <w:szCs w:val="17"/>
          <w:shd w:val="clear" w:color="auto" w:fill="FFFFFF"/>
        </w:rPr>
        <w:t>“</w:t>
      </w:r>
      <w:r w:rsidR="00315997" w:rsidRPr="006A612F">
        <w:rPr>
          <w:szCs w:val="17"/>
          <w:shd w:val="clear" w:color="auto" w:fill="FFFFFF"/>
        </w:rPr>
        <w:t>is not good enough to fend off summary judgment.</w:t>
      </w:r>
      <w:r w:rsidRPr="006A612F">
        <w:rPr>
          <w:szCs w:val="17"/>
          <w:shd w:val="clear" w:color="auto" w:fill="FFFFFF"/>
        </w:rPr>
        <w:t>”</w:t>
      </w:r>
      <w:r w:rsidR="00315997" w:rsidRPr="006A612F">
        <w:rPr>
          <w:szCs w:val="17"/>
          <w:shd w:val="clear" w:color="auto" w:fill="FFFFFF"/>
        </w:rPr>
        <w:t> </w:t>
      </w:r>
      <w:r w:rsidR="00315997" w:rsidRPr="0024777B">
        <w:rPr>
          <w:i/>
          <w:szCs w:val="17"/>
          <w:shd w:val="clear" w:color="auto" w:fill="FFFFFF"/>
        </w:rPr>
        <w:t>Id.</w:t>
      </w:r>
      <w:r w:rsidR="00315997" w:rsidRPr="006A612F">
        <w:rPr>
          <w:i/>
          <w:iCs/>
          <w:szCs w:val="17"/>
          <w:shd w:val="clear" w:color="auto" w:fill="FFFFFF"/>
        </w:rPr>
        <w:t xml:space="preserve"> </w:t>
      </w:r>
      <w:r w:rsidR="00315997" w:rsidRPr="006A612F">
        <w:rPr>
          <w:szCs w:val="17"/>
        </w:rPr>
        <w:t>This leaves one to wonder whether the court would have reached a different result if the plaintiff had sued all ten of the police officials who were present on the scene.</w:t>
      </w:r>
    </w:p>
  </w:footnote>
  <w:footnote w:id="184">
    <w:p w14:paraId="18C64EE6" w14:textId="79FCFB7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Colbert</w:t>
      </w:r>
      <w:r w:rsidR="00315997" w:rsidRPr="006A612F">
        <w:rPr>
          <w:szCs w:val="17"/>
        </w:rPr>
        <w:t>, 851 F.3d at 657–58.</w:t>
      </w:r>
    </w:p>
  </w:footnote>
  <w:footnote w:id="185">
    <w:p w14:paraId="0ACD8262" w14:textId="3B827C2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id.</w:t>
      </w:r>
      <w:r w:rsidR="00315997" w:rsidRPr="006A612F">
        <w:rPr>
          <w:szCs w:val="17"/>
        </w:rPr>
        <w:t xml:space="preserve"> at 657 (</w:t>
      </w:r>
      <w:r w:rsidRPr="006A612F">
        <w:rPr>
          <w:szCs w:val="17"/>
        </w:rPr>
        <w:t>“</w:t>
      </w:r>
      <w:r w:rsidR="00315997" w:rsidRPr="006A612F">
        <w:rPr>
          <w:szCs w:val="17"/>
          <w:shd w:val="clear" w:color="auto" w:fill="FFFFFF"/>
        </w:rPr>
        <w:t>We recognize the potential tension between §</w:t>
      </w:r>
      <w:r w:rsidR="006834B3" w:rsidRPr="006A612F">
        <w:rPr>
          <w:szCs w:val="17"/>
          <w:shd w:val="clear" w:color="auto" w:fill="FFFFFF"/>
        </w:rPr>
        <w:t> </w:t>
      </w:r>
      <w:r w:rsidR="00315997" w:rsidRPr="006A612F">
        <w:rPr>
          <w:szCs w:val="17"/>
          <w:shd w:val="clear" w:color="auto" w:fill="FFFFFF"/>
        </w:rPr>
        <w:t>1983</w:t>
      </w:r>
      <w:r w:rsidRPr="006A612F">
        <w:rPr>
          <w:szCs w:val="17"/>
          <w:shd w:val="clear" w:color="auto" w:fill="FFFFFF"/>
        </w:rPr>
        <w:t>’</w:t>
      </w:r>
      <w:r w:rsidR="00315997" w:rsidRPr="006A612F">
        <w:rPr>
          <w:szCs w:val="17"/>
          <w:shd w:val="clear" w:color="auto" w:fill="FFFFFF"/>
        </w:rPr>
        <w:t>s individual-responsibility requirement and factual scenarios of the kind present here: It may be problematic to require plaintiffs to specifically identify which officers caused property damage when officers commonly remove these individuals from the search area.</w:t>
      </w:r>
      <w:r w:rsidRPr="006A612F">
        <w:rPr>
          <w:szCs w:val="17"/>
          <w:shd w:val="clear" w:color="auto" w:fill="FFFFFF"/>
        </w:rPr>
        <w:t>”</w:t>
      </w:r>
      <w:r w:rsidR="00315997" w:rsidRPr="006A612F">
        <w:rPr>
          <w:szCs w:val="17"/>
          <w:shd w:val="clear" w:color="auto" w:fill="FFFFFF"/>
        </w:rPr>
        <w:t>).</w:t>
      </w:r>
    </w:p>
  </w:footnote>
  <w:footnote w:id="186">
    <w:p w14:paraId="090F9F41" w14:textId="7EEDB21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659.</w:t>
      </w:r>
    </w:p>
  </w:footnote>
  <w:footnote w:id="187">
    <w:p w14:paraId="375D3630" w14:textId="05382F5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24777B">
        <w:rPr>
          <w:i/>
          <w:szCs w:val="17"/>
        </w:rPr>
        <w:t>id.</w:t>
      </w:r>
      <w:r w:rsidR="00315997" w:rsidRPr="006A612F">
        <w:rPr>
          <w:i/>
          <w:iCs/>
          <w:szCs w:val="17"/>
        </w:rPr>
        <w:t xml:space="preserve"> </w:t>
      </w:r>
      <w:r w:rsidR="00315997" w:rsidRPr="006A612F">
        <w:rPr>
          <w:szCs w:val="17"/>
        </w:rPr>
        <w:t xml:space="preserve">at 658 (indicating that </w:t>
      </w:r>
      <w:r w:rsidRPr="006A612F">
        <w:rPr>
          <w:szCs w:val="17"/>
        </w:rPr>
        <w:t>“</w:t>
      </w:r>
      <w:r w:rsidR="00315997" w:rsidRPr="006A612F">
        <w:rPr>
          <w:szCs w:val="17"/>
        </w:rPr>
        <w:t xml:space="preserve">plaintiffs may allege that the named officers participated in something akin to a </w:t>
      </w:r>
      <w:r w:rsidRPr="006A612F">
        <w:rPr>
          <w:szCs w:val="17"/>
        </w:rPr>
        <w:t>‘</w:t>
      </w:r>
      <w:r w:rsidR="00315997" w:rsidRPr="006A612F">
        <w:rPr>
          <w:szCs w:val="17"/>
        </w:rPr>
        <w:t>conspiracy of silence among the officers</w:t>
      </w:r>
      <w:r w:rsidRPr="006A612F">
        <w:rPr>
          <w:szCs w:val="17"/>
        </w:rPr>
        <w:t>’”</w:t>
      </w:r>
      <w:r w:rsidR="00315997" w:rsidRPr="006A612F">
        <w:rPr>
          <w:szCs w:val="17"/>
        </w:rPr>
        <w:t xml:space="preserve"> in order to satisfy § 1983</w:t>
      </w:r>
      <w:r w:rsidRPr="006A612F">
        <w:rPr>
          <w:szCs w:val="17"/>
        </w:rPr>
        <w:t>’</w:t>
      </w:r>
      <w:r w:rsidR="00315997" w:rsidRPr="006A612F">
        <w:rPr>
          <w:szCs w:val="17"/>
        </w:rPr>
        <w:t xml:space="preserve">s personal-responsibility requirement (quoting Molina </w:t>
      </w:r>
      <w:r w:rsidR="00315997" w:rsidRPr="006A612F">
        <w:rPr>
          <w:i/>
          <w:iCs/>
          <w:szCs w:val="17"/>
        </w:rPr>
        <w:t>ex rel</w:t>
      </w:r>
      <w:r w:rsidR="00315997" w:rsidRPr="006A612F">
        <w:rPr>
          <w:szCs w:val="17"/>
        </w:rPr>
        <w:t>. Molina v. Cooper, 325 F.3d 963, 974 (7th Cir. 2003))). The Third Restatement of Torts notes that a plaintiff must sue all of the tortfeasors who might have caused the injury. Comment h to § 28 explains:</w:t>
      </w:r>
    </w:p>
    <w:p w14:paraId="0DF4A469" w14:textId="73EAA319" w:rsidR="00315997" w:rsidRPr="006A612F" w:rsidRDefault="00315997" w:rsidP="00AA6ED0">
      <w:pPr>
        <w:pStyle w:val="FootNote"/>
        <w:spacing w:line="240" w:lineRule="auto"/>
        <w:ind w:left="446" w:right="446"/>
        <w:rPr>
          <w:szCs w:val="17"/>
        </w:rPr>
      </w:pPr>
      <w:r w:rsidRPr="006A612F">
        <w:rPr>
          <w:color w:val="000000"/>
          <w:szCs w:val="17"/>
        </w:rPr>
        <w:t>Courts have insisted that all persons whose tortious acts exposed the plaintiff to a risk of harm be joined as defendants as a condition for alternative liability. When fewer than all such persons are joined in the case, the person who actually caused the plaintiff</w:t>
      </w:r>
      <w:r w:rsidR="00BF278E" w:rsidRPr="006A612F">
        <w:rPr>
          <w:color w:val="000000"/>
          <w:szCs w:val="17"/>
        </w:rPr>
        <w:t>’</w:t>
      </w:r>
      <w:r w:rsidRPr="006A612F">
        <w:rPr>
          <w:color w:val="000000"/>
          <w:szCs w:val="17"/>
        </w:rPr>
        <w:t>s harm may escape liability. In addition, when fewer than all such persons are sued, a much weaker case exists for joint and several liability in those jurisdictions that retain it.</w:t>
      </w:r>
    </w:p>
    <w:p w14:paraId="7D5402DE" w14:textId="3AC5C7A6" w:rsidR="00315997" w:rsidRPr="006A612F" w:rsidRDefault="00315997" w:rsidP="00AA6ED0">
      <w:pPr>
        <w:pStyle w:val="FootNote"/>
        <w:spacing w:line="240" w:lineRule="auto"/>
        <w:rPr>
          <w:szCs w:val="17"/>
        </w:rPr>
      </w:pPr>
      <w:r w:rsidRPr="006A612F">
        <w:rPr>
          <w:smallCaps/>
          <w:color w:val="000000" w:themeColor="text1"/>
          <w:szCs w:val="17"/>
        </w:rPr>
        <w:t>Restatement (Third) of Torts: Physical and Emotional Harm</w:t>
      </w:r>
      <w:r w:rsidRPr="006A612F">
        <w:rPr>
          <w:color w:val="000000" w:themeColor="text1"/>
          <w:szCs w:val="17"/>
        </w:rPr>
        <w:t xml:space="preserve"> § 28 cmt. h (</w:t>
      </w:r>
      <w:r w:rsidRPr="006A612F">
        <w:rPr>
          <w:smallCaps/>
          <w:color w:val="000000" w:themeColor="text1"/>
          <w:szCs w:val="17"/>
        </w:rPr>
        <w:t xml:space="preserve">Am. L. Inst. </w:t>
      </w:r>
      <w:r w:rsidRPr="006A612F">
        <w:rPr>
          <w:color w:val="000000" w:themeColor="text1"/>
          <w:szCs w:val="17"/>
        </w:rPr>
        <w:t>2010).</w:t>
      </w:r>
    </w:p>
  </w:footnote>
  <w:footnote w:id="188">
    <w:p w14:paraId="1AFEFDBB" w14:textId="7E76ABDC"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i/>
          <w:iCs/>
          <w:szCs w:val="17"/>
        </w:rPr>
        <w:t>,</w:t>
      </w:r>
      <w:r w:rsidR="00315997" w:rsidRPr="006A612F">
        <w:rPr>
          <w:i/>
          <w:szCs w:val="17"/>
        </w:rPr>
        <w:t xml:space="preserve"> </w:t>
      </w:r>
      <w:r w:rsidR="00315997" w:rsidRPr="0024777B">
        <w:rPr>
          <w:i/>
          <w:szCs w:val="17"/>
        </w:rPr>
        <w:t>e.g.</w:t>
      </w:r>
      <w:r w:rsidR="00315997" w:rsidRPr="006A612F">
        <w:rPr>
          <w:szCs w:val="17"/>
        </w:rPr>
        <w:t xml:space="preserve">, </w:t>
      </w:r>
      <w:r w:rsidR="00315997" w:rsidRPr="006A612F">
        <w:rPr>
          <w:i/>
          <w:iCs/>
          <w:szCs w:val="17"/>
        </w:rPr>
        <w:t>Colbert</w:t>
      </w:r>
      <w:r w:rsidR="00315997" w:rsidRPr="006A612F">
        <w:rPr>
          <w:szCs w:val="17"/>
        </w:rPr>
        <w:t xml:space="preserve">, 851 F.3d at 658 (noting that plaintiffs </w:t>
      </w:r>
      <w:r w:rsidRPr="006A612F">
        <w:rPr>
          <w:szCs w:val="17"/>
        </w:rPr>
        <w:t>“</w:t>
      </w:r>
      <w:r w:rsidR="00315997" w:rsidRPr="006A612F">
        <w:rPr>
          <w:szCs w:val="17"/>
          <w:shd w:val="clear" w:color="auto" w:fill="FFFFFF"/>
        </w:rPr>
        <w:t>have not alleged a conspiracy of silence among the officers</w:t>
      </w:r>
      <w:r w:rsidRPr="006A612F">
        <w:rPr>
          <w:szCs w:val="17"/>
          <w:shd w:val="clear" w:color="auto" w:fill="FFFFFF"/>
        </w:rPr>
        <w:t>”</w:t>
      </w:r>
      <w:r w:rsidR="00315997" w:rsidRPr="006A612F">
        <w:rPr>
          <w:szCs w:val="17"/>
        </w:rPr>
        <w:t xml:space="preserve">); </w:t>
      </w:r>
      <w:r w:rsidR="00315997" w:rsidRPr="006A612F">
        <w:rPr>
          <w:i/>
          <w:iCs/>
          <w:szCs w:val="17"/>
        </w:rPr>
        <w:t>Molina</w:t>
      </w:r>
      <w:r w:rsidR="00315997" w:rsidRPr="006A612F">
        <w:rPr>
          <w:szCs w:val="17"/>
        </w:rPr>
        <w:t>, 325 F.3d at 974 (same</w:t>
      </w:r>
      <w:r w:rsidR="00315997" w:rsidRPr="006A612F">
        <w:rPr>
          <w:szCs w:val="17"/>
          <w:shd w:val="clear" w:color="auto" w:fill="FFFFFF"/>
        </w:rPr>
        <w:t>).</w:t>
      </w:r>
    </w:p>
  </w:footnote>
  <w:footnote w:id="189">
    <w:p w14:paraId="1DF45F65" w14:textId="406E51A4" w:rsidR="00315997" w:rsidRPr="006A612F"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Jutrowski v. Township of Riverdale, 904 F.3d 280, 294 (3d Cir. 2018) (quoting Monroe v. Beard, 536 F.3d 198, 205 (3d Cir. 2008)).</w:t>
      </w:r>
    </w:p>
  </w:footnote>
  <w:footnote w:id="190">
    <w:p w14:paraId="4358A4CF" w14:textId="2F353B6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291 (alteration in original) (quoting Vasquez v. Hernandez, 60 F.3d 325, 328–29 (7th Cir. 1995)).</w:t>
      </w:r>
    </w:p>
  </w:footnote>
  <w:footnote w:id="191">
    <w:p w14:paraId="3AB763AE" w14:textId="42C55264"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295 (quoting Capogrosso v. Supreme Court of N.J., 588 F.3d 180, 84–85 (3d Cir. 2009)).</w:t>
      </w:r>
    </w:p>
  </w:footnote>
  <w:footnote w:id="192">
    <w:p w14:paraId="2877D2D1" w14:textId="4787C42C"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szCs w:val="17"/>
        </w:rPr>
        <w:t xml:space="preserve"> (noting evidence of a conspiracy includes discussions among officers about the incident, conflicting stories, irregularities in the investigation, and material omissions in police reports).</w:t>
      </w:r>
    </w:p>
  </w:footnote>
  <w:footnote w:id="193">
    <w:p w14:paraId="17DF7624" w14:textId="530A653E"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Paul v. Davis, 424 U.S. 693, 701 (1976) (refusing to make the Fourteenth Amendment </w:t>
      </w:r>
      <w:r w:rsidRPr="006A612F">
        <w:rPr>
          <w:szCs w:val="17"/>
        </w:rPr>
        <w:t>“</w:t>
      </w:r>
      <w:r w:rsidR="00315997" w:rsidRPr="006A612F">
        <w:rPr>
          <w:szCs w:val="17"/>
        </w:rPr>
        <w:t>a font for tort law</w:t>
      </w:r>
      <w:r w:rsidRPr="006A612F">
        <w:rPr>
          <w:szCs w:val="17"/>
        </w:rPr>
        <w:t>”</w:t>
      </w:r>
      <w:r w:rsidR="00315997" w:rsidRPr="006A612F">
        <w:rPr>
          <w:szCs w:val="17"/>
        </w:rPr>
        <w:t>).</w:t>
      </w:r>
    </w:p>
  </w:footnote>
  <w:footnote w:id="194">
    <w:p w14:paraId="72C4113A" w14:textId="640D233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E.g.</w:t>
      </w:r>
      <w:r w:rsidR="00315997" w:rsidRPr="006A612F">
        <w:rPr>
          <w:szCs w:val="17"/>
        </w:rPr>
        <w:t>, Ryder v. Mitchell, 54 P.3d 885, 889 (Colo. 2002).</w:t>
      </w:r>
    </w:p>
  </w:footnote>
  <w:footnote w:id="195">
    <w:p w14:paraId="66D5C937" w14:textId="41D11A9B" w:rsidR="00315997" w:rsidRPr="006A612F" w:rsidRDefault="00BF278E" w:rsidP="00AA6ED0">
      <w:pPr>
        <w:pStyle w:val="FootNote"/>
        <w:spacing w:line="240" w:lineRule="auto"/>
        <w:rPr>
          <w:b/>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Malley v. Briggs, 475 U.S. 335, 344 n.7 (1986) (quoting Monroe v. Pape, 365 U.S. 167, 187 (1961)).</w:t>
      </w:r>
    </w:p>
  </w:footnote>
  <w:footnote w:id="196">
    <w:p w14:paraId="32953998" w14:textId="784142E3"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E.g.</w:t>
      </w:r>
      <w:r w:rsidR="00315997" w:rsidRPr="006A612F">
        <w:rPr>
          <w:szCs w:val="17"/>
        </w:rPr>
        <w:t xml:space="preserve">, </w:t>
      </w:r>
      <w:r w:rsidR="00315997" w:rsidRPr="006A612F">
        <w:rPr>
          <w:szCs w:val="17"/>
          <w:bdr w:val="none" w:sz="0" w:space="0" w:color="auto" w:frame="1"/>
        </w:rPr>
        <w:t>Lamont v. New Jersey,</w:t>
      </w:r>
      <w:r w:rsidR="00315997" w:rsidRPr="006A612F">
        <w:rPr>
          <w:szCs w:val="17"/>
          <w:shd w:val="clear" w:color="auto" w:fill="FFFFFF"/>
        </w:rPr>
        <w:t> 637 F.3d 177, 185 (3d Cir. 2011) (</w:t>
      </w:r>
      <w:r w:rsidRPr="006A612F">
        <w:rPr>
          <w:szCs w:val="17"/>
          <w:shd w:val="clear" w:color="auto" w:fill="FFFFFF"/>
        </w:rPr>
        <w:t>“</w:t>
      </w:r>
      <w:r w:rsidR="00315997" w:rsidRPr="006A612F">
        <w:rPr>
          <w:szCs w:val="17"/>
          <w:shd w:val="clear" w:color="auto" w:fill="FFFFFF"/>
        </w:rPr>
        <w:t>Like a tort plaintiff, a § 1983 plaintiff must establish both </w:t>
      </w:r>
      <w:r w:rsidR="00315997" w:rsidRPr="006A612F">
        <w:rPr>
          <w:szCs w:val="17"/>
          <w:bdr w:val="none" w:sz="0" w:space="0" w:color="auto" w:frame="1"/>
          <w:shd w:val="clear" w:color="auto" w:fill="FFFFFF"/>
        </w:rPr>
        <w:t>causation</w:t>
      </w:r>
      <w:r w:rsidR="00315997" w:rsidRPr="006A612F">
        <w:rPr>
          <w:szCs w:val="17"/>
          <w:shd w:val="clear" w:color="auto" w:fill="FFFFFF"/>
        </w:rPr>
        <w:t> in fact and proximate </w:t>
      </w:r>
      <w:r w:rsidR="00315997" w:rsidRPr="006A612F">
        <w:rPr>
          <w:szCs w:val="17"/>
          <w:bdr w:val="none" w:sz="0" w:space="0" w:color="auto" w:frame="1"/>
          <w:shd w:val="clear" w:color="auto" w:fill="FFFFFF"/>
        </w:rPr>
        <w:t>causation</w:t>
      </w:r>
      <w:r w:rsidR="00315997" w:rsidRPr="006A612F">
        <w:rPr>
          <w:szCs w:val="17"/>
          <w:shd w:val="clear" w:color="auto" w:fill="FFFFFF"/>
        </w:rPr>
        <w:t>.</w:t>
      </w:r>
      <w:r w:rsidRPr="006A612F">
        <w:rPr>
          <w:szCs w:val="17"/>
          <w:shd w:val="clear" w:color="auto" w:fill="FFFFFF"/>
        </w:rPr>
        <w:t>”</w:t>
      </w:r>
      <w:r w:rsidR="00315997" w:rsidRPr="006A612F">
        <w:rPr>
          <w:szCs w:val="17"/>
          <w:shd w:val="clear" w:color="auto" w:fill="FFFFFF"/>
        </w:rPr>
        <w:t xml:space="preserve">); </w:t>
      </w:r>
      <w:r w:rsidR="00315997" w:rsidRPr="006A612F">
        <w:rPr>
          <w:szCs w:val="17"/>
        </w:rPr>
        <w:t>Harper v. City of Los Angeles, 533 F.3d 1010, 1026 (9th Cir. 2008) (</w:t>
      </w:r>
      <w:r w:rsidRPr="006A612F">
        <w:rPr>
          <w:szCs w:val="17"/>
        </w:rPr>
        <w:t>“</w:t>
      </w:r>
      <w:r w:rsidR="00315997" w:rsidRPr="006A612F">
        <w:rPr>
          <w:szCs w:val="17"/>
        </w:rPr>
        <w:t>To meet this causation requirement, the plaintiff must establish both causation-in-fact and proximate causation.</w:t>
      </w:r>
      <w:r w:rsidRPr="006A612F">
        <w:rPr>
          <w:szCs w:val="17"/>
        </w:rPr>
        <w:t>”</w:t>
      </w:r>
      <w:r w:rsidR="00315997" w:rsidRPr="006A612F">
        <w:rPr>
          <w:szCs w:val="17"/>
        </w:rPr>
        <w:t xml:space="preserve"> (citing Van Ort v. Estate of Stanewich, 92 F.3d 831, 837 (9th Cir. 1996))).</w:t>
      </w:r>
    </w:p>
  </w:footnote>
  <w:footnote w:id="197">
    <w:p w14:paraId="21CF444D" w14:textId="6750B33E"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To prevail, § 1983 plaintiffs do not need to prove an injury separate and distinct from the constitutional deprivation. </w:t>
      </w:r>
      <w:r w:rsidR="00315997" w:rsidRPr="006A612F">
        <w:rPr>
          <w:i/>
          <w:szCs w:val="17"/>
        </w:rPr>
        <w:t>See</w:t>
      </w:r>
      <w:r w:rsidR="00315997" w:rsidRPr="006A612F">
        <w:rPr>
          <w:szCs w:val="17"/>
        </w:rPr>
        <w:t xml:space="preserve"> Carey v. Piphus, 435 U.S. 247, 266 (1978) (</w:t>
      </w:r>
      <w:r w:rsidRPr="006A612F">
        <w:rPr>
          <w:szCs w:val="17"/>
        </w:rPr>
        <w:t>“</w:t>
      </w:r>
      <w:r w:rsidR="00315997" w:rsidRPr="006A612F">
        <w:rPr>
          <w:szCs w:val="17"/>
        </w:rPr>
        <w:t>[E]ven if [the plaintiffs] did not suffer any other actual injury, the fact remains that they were deprived of their right to procedural due process.</w:t>
      </w:r>
      <w:r w:rsidRPr="006A612F">
        <w:rPr>
          <w:szCs w:val="17"/>
        </w:rPr>
        <w:t>”</w:t>
      </w:r>
      <w:r w:rsidR="00315997" w:rsidRPr="006A612F">
        <w:rPr>
          <w:szCs w:val="17"/>
        </w:rPr>
        <w:t xml:space="preserve">). However, they must prove an </w:t>
      </w:r>
      <w:r w:rsidRPr="006A612F">
        <w:rPr>
          <w:szCs w:val="17"/>
        </w:rPr>
        <w:t>“</w:t>
      </w:r>
      <w:r w:rsidR="00315997" w:rsidRPr="006A612F">
        <w:rPr>
          <w:szCs w:val="17"/>
        </w:rPr>
        <w:t>actual injury</w:t>
      </w:r>
      <w:r w:rsidRPr="006A612F">
        <w:rPr>
          <w:szCs w:val="17"/>
        </w:rPr>
        <w:t>”</w:t>
      </w:r>
      <w:r w:rsidR="00315997" w:rsidRPr="006A612F">
        <w:rPr>
          <w:szCs w:val="17"/>
        </w:rPr>
        <w:t xml:space="preserve"> to receive more than nominal damages. </w:t>
      </w:r>
      <w:r w:rsidR="00315997" w:rsidRPr="006A612F">
        <w:rPr>
          <w:i/>
          <w:iCs/>
          <w:szCs w:val="17"/>
        </w:rPr>
        <w:t xml:space="preserve">See </w:t>
      </w:r>
      <w:r w:rsidR="00315997" w:rsidRPr="0024777B">
        <w:rPr>
          <w:i/>
          <w:szCs w:val="17"/>
        </w:rPr>
        <w:t>id.</w:t>
      </w:r>
      <w:r w:rsidR="00315997" w:rsidRPr="006A612F">
        <w:rPr>
          <w:i/>
          <w:iCs/>
          <w:szCs w:val="17"/>
        </w:rPr>
        <w:t xml:space="preserve"> </w:t>
      </w:r>
      <w:r w:rsidR="00315997" w:rsidRPr="006A612F">
        <w:rPr>
          <w:szCs w:val="17"/>
        </w:rPr>
        <w:t>(</w:t>
      </w:r>
      <w:r w:rsidRPr="006A612F">
        <w:rPr>
          <w:szCs w:val="17"/>
        </w:rPr>
        <w:t>“</w:t>
      </w:r>
      <w:r w:rsidR="00315997" w:rsidRPr="006A612F">
        <w:rPr>
          <w:szCs w:val="17"/>
        </w:rPr>
        <w:t xml:space="preserve">[S]ubstantial damages should be awarded only to compensate actual injury </w:t>
      </w:r>
      <w:r w:rsidRPr="006A612F">
        <w:rPr>
          <w:szCs w:val="17"/>
        </w:rPr>
        <w:t>. . . .”</w:t>
      </w:r>
      <w:r w:rsidR="00315997" w:rsidRPr="006A612F">
        <w:rPr>
          <w:szCs w:val="17"/>
        </w:rPr>
        <w:t>)</w:t>
      </w:r>
      <w:r w:rsidR="000B1D04" w:rsidRPr="006A612F">
        <w:rPr>
          <w:szCs w:val="17"/>
        </w:rPr>
        <w:t>.</w:t>
      </w:r>
    </w:p>
  </w:footnote>
  <w:footnote w:id="198">
    <w:p w14:paraId="277C0DC6" w14:textId="44C7FAE8" w:rsidR="00315997" w:rsidRPr="006A612F" w:rsidRDefault="00BF278E" w:rsidP="00AA6ED0">
      <w:pPr>
        <w:pStyle w:val="FootNote"/>
        <w:spacing w:line="240" w:lineRule="auto"/>
        <w:rPr>
          <w:color w:val="000000"/>
          <w:szCs w:val="17"/>
        </w:rPr>
      </w:pPr>
      <w:r w:rsidRPr="006A612F">
        <w:rPr>
          <w:i/>
          <w:color w:val="000000" w:themeColor="text1"/>
          <w:szCs w:val="17"/>
        </w:rPr>
        <w:fldChar w:fldCharType="begin"/>
      </w:r>
      <w:r w:rsidRPr="006A612F">
        <w:rPr>
          <w:i/>
          <w:color w:val="000000" w:themeColor="text1"/>
          <w:szCs w:val="17"/>
        </w:rPr>
        <w:instrText xml:space="preserve"> ADVANCE \r12 \* MERGEFORMAT </w:instrText>
      </w:r>
      <w:r w:rsidRPr="006A612F">
        <w:rPr>
          <w:i/>
          <w:color w:val="000000" w:themeColor="text1"/>
          <w:szCs w:val="17"/>
        </w:rPr>
        <w:fldChar w:fldCharType="end"/>
      </w:r>
      <w:r w:rsidR="00315997" w:rsidRPr="00732F34">
        <w:rPr>
          <w:rStyle w:val="NoterefInNote"/>
        </w:rPr>
        <w:footnoteRef/>
      </w:r>
      <w:r w:rsidRPr="00732F34">
        <w:rPr>
          <w:color w:val="000000" w:themeColor="text1"/>
          <w:szCs w:val="17"/>
        </w:rPr>
        <w:t>.</w:t>
      </w:r>
      <w:r w:rsidRPr="006A612F">
        <w:rPr>
          <w:i/>
          <w:color w:val="000000" w:themeColor="text1"/>
          <w:szCs w:val="17"/>
        </w:rPr>
        <w:fldChar w:fldCharType="begin"/>
      </w:r>
      <w:r w:rsidRPr="006A612F">
        <w:rPr>
          <w:i/>
          <w:color w:val="000000" w:themeColor="text1"/>
          <w:szCs w:val="17"/>
        </w:rPr>
        <w:instrText xml:space="preserve"> ADVANCE \r4 \* MERGEFORMAT </w:instrText>
      </w:r>
      <w:r w:rsidRPr="006A612F">
        <w:rPr>
          <w:i/>
          <w:color w:val="000000" w:themeColor="text1"/>
          <w:szCs w:val="17"/>
        </w:rPr>
        <w:fldChar w:fldCharType="end"/>
      </w:r>
      <w:r w:rsidR="00315997" w:rsidRPr="006A612F">
        <w:rPr>
          <w:i/>
          <w:color w:val="000000" w:themeColor="text1"/>
          <w:szCs w:val="17"/>
        </w:rPr>
        <w:t>Breach</w:t>
      </w:r>
      <w:r w:rsidR="00315997" w:rsidRPr="006A612F">
        <w:rPr>
          <w:color w:val="000000"/>
          <w:szCs w:val="17"/>
        </w:rPr>
        <w:t xml:space="preserve">, </w:t>
      </w:r>
      <w:r w:rsidR="00315997" w:rsidRPr="006A612F">
        <w:rPr>
          <w:smallCaps/>
          <w:color w:val="000000"/>
          <w:szCs w:val="17"/>
        </w:rPr>
        <w:t>Black</w:t>
      </w:r>
      <w:r w:rsidRPr="006A612F">
        <w:rPr>
          <w:smallCaps/>
          <w:color w:val="000000"/>
          <w:szCs w:val="17"/>
        </w:rPr>
        <w:t>’</w:t>
      </w:r>
      <w:r w:rsidR="00315997" w:rsidRPr="006A612F">
        <w:rPr>
          <w:smallCaps/>
          <w:color w:val="000000"/>
          <w:szCs w:val="17"/>
        </w:rPr>
        <w:t>s Law Dictionary</w:t>
      </w:r>
      <w:r w:rsidR="00315997" w:rsidRPr="006A612F">
        <w:rPr>
          <w:color w:val="000000"/>
          <w:szCs w:val="17"/>
        </w:rPr>
        <w:t xml:space="preserve"> (11th ed. 2019).</w:t>
      </w:r>
    </w:p>
  </w:footnote>
  <w:footnote w:id="199">
    <w:p w14:paraId="5D292990" w14:textId="4BF8FA77"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Breach</w:t>
      </w:r>
      <w:r w:rsidR="00315997" w:rsidRPr="006A612F">
        <w:rPr>
          <w:szCs w:val="17"/>
        </w:rPr>
        <w:t xml:space="preserve">, </w:t>
      </w:r>
      <w:r w:rsidR="00315997" w:rsidRPr="006A612F">
        <w:rPr>
          <w:smallCaps/>
          <w:szCs w:val="17"/>
        </w:rPr>
        <w:t>The Wolters Kluwer Bouvier Law Dictionary</w:t>
      </w:r>
      <w:r w:rsidR="00315997" w:rsidRPr="006A612F">
        <w:rPr>
          <w:szCs w:val="17"/>
        </w:rPr>
        <w:t xml:space="preserve"> (2012).</w:t>
      </w:r>
    </w:p>
  </w:footnote>
  <w:footnote w:id="200">
    <w:p w14:paraId="0F2C61D7" w14:textId="02A6C97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mallCaps/>
          <w:szCs w:val="17"/>
        </w:rPr>
        <w:t>Dan B. Dobbs</w:t>
      </w:r>
      <w:r w:rsidR="00315997" w:rsidRPr="006A612F">
        <w:rPr>
          <w:szCs w:val="17"/>
        </w:rPr>
        <w:t xml:space="preserve">, </w:t>
      </w:r>
      <w:r w:rsidR="00315997" w:rsidRPr="006A612F">
        <w:rPr>
          <w:smallCaps/>
          <w:szCs w:val="17"/>
        </w:rPr>
        <w:t>Paul T. Hayden &amp; Ellen M. Bublick</w:t>
      </w:r>
      <w:r w:rsidR="00315997" w:rsidRPr="006A612F">
        <w:rPr>
          <w:szCs w:val="17"/>
        </w:rPr>
        <w:t xml:space="preserve">, </w:t>
      </w:r>
      <w:r w:rsidR="00315997" w:rsidRPr="006A612F">
        <w:rPr>
          <w:smallCaps/>
          <w:szCs w:val="17"/>
        </w:rPr>
        <w:t>Law of Torts</w:t>
      </w:r>
      <w:r w:rsidR="00315997" w:rsidRPr="006A612F">
        <w:rPr>
          <w:szCs w:val="17"/>
        </w:rPr>
        <w:t xml:space="preserve"> § 251 (2d ed. 2000) (</w:t>
      </w:r>
      <w:r w:rsidRPr="006A612F">
        <w:rPr>
          <w:szCs w:val="17"/>
        </w:rPr>
        <w:t>“</w:t>
      </w:r>
      <w:r w:rsidR="00315997" w:rsidRPr="006A612F">
        <w:rPr>
          <w:szCs w:val="17"/>
        </w:rPr>
        <w:t xml:space="preserve">[W]here the defendant by some action on his part, creates, maintains, or continues a risk of physical harm, the general standard or duty is the duty of reasonable care </w:t>
      </w:r>
      <w:r w:rsidRPr="006A612F">
        <w:rPr>
          <w:szCs w:val="17"/>
        </w:rPr>
        <w:t>. . . .”</w:t>
      </w:r>
      <w:r w:rsidR="00315997" w:rsidRPr="006A612F">
        <w:rPr>
          <w:szCs w:val="17"/>
        </w:rPr>
        <w:t>).</w:t>
      </w:r>
    </w:p>
  </w:footnote>
  <w:footnote w:id="201">
    <w:p w14:paraId="34B2377E" w14:textId="1540F9C8" w:rsidR="00315997" w:rsidRPr="006A612F" w:rsidRDefault="00BF278E" w:rsidP="00AA6ED0">
      <w:pPr>
        <w:pStyle w:val="FootNote"/>
        <w:spacing w:line="240" w:lineRule="auto"/>
        <w:rPr>
          <w:szCs w:val="17"/>
        </w:rPr>
      </w:pPr>
      <w:r w:rsidRPr="006A612F">
        <w:rPr>
          <w:i/>
          <w:iCs/>
          <w:color w:val="000000"/>
          <w:szCs w:val="17"/>
        </w:rPr>
        <w:fldChar w:fldCharType="begin"/>
      </w:r>
      <w:r w:rsidRPr="006A612F">
        <w:rPr>
          <w:i/>
          <w:iCs/>
          <w:color w:val="000000"/>
          <w:szCs w:val="17"/>
        </w:rPr>
        <w:instrText xml:space="preserve"> ADVANCE \r12 \* MERGEFORMAT </w:instrText>
      </w:r>
      <w:r w:rsidRPr="006A612F">
        <w:rPr>
          <w:i/>
          <w:iCs/>
          <w:color w:val="000000"/>
          <w:szCs w:val="17"/>
        </w:rPr>
        <w:fldChar w:fldCharType="end"/>
      </w:r>
      <w:r w:rsidR="00315997" w:rsidRPr="00732F34">
        <w:rPr>
          <w:rStyle w:val="NoterefInNote"/>
        </w:rPr>
        <w:footnoteRef/>
      </w:r>
      <w:r w:rsidRPr="00732F34">
        <w:rPr>
          <w:color w:val="000000"/>
          <w:szCs w:val="17"/>
        </w:rPr>
        <w:t>.</w:t>
      </w:r>
      <w:r w:rsidRPr="006A612F">
        <w:rPr>
          <w:i/>
          <w:iCs/>
          <w:color w:val="000000"/>
          <w:szCs w:val="17"/>
        </w:rPr>
        <w:fldChar w:fldCharType="begin"/>
      </w:r>
      <w:r w:rsidRPr="006A612F">
        <w:rPr>
          <w:i/>
          <w:iCs/>
          <w:color w:val="000000"/>
          <w:szCs w:val="17"/>
        </w:rPr>
        <w:instrText xml:space="preserve"> ADVANCE \r4 \* MERGEFORMAT </w:instrText>
      </w:r>
      <w:r w:rsidRPr="006A612F">
        <w:rPr>
          <w:i/>
          <w:iCs/>
          <w:color w:val="000000"/>
          <w:szCs w:val="17"/>
        </w:rPr>
        <w:fldChar w:fldCharType="end"/>
      </w:r>
      <w:r w:rsidR="00315997" w:rsidRPr="006A612F">
        <w:rPr>
          <w:i/>
          <w:iCs/>
          <w:color w:val="000000"/>
          <w:szCs w:val="17"/>
        </w:rPr>
        <w:t xml:space="preserve">See </w:t>
      </w:r>
      <w:r w:rsidR="00315997" w:rsidRPr="006A612F">
        <w:rPr>
          <w:smallCaps/>
          <w:color w:val="000000"/>
          <w:szCs w:val="17"/>
        </w:rPr>
        <w:t>Restatement (Third) of Torts: Physical and Emotional Harm</w:t>
      </w:r>
      <w:r w:rsidR="00315997" w:rsidRPr="006A612F">
        <w:rPr>
          <w:color w:val="000000"/>
          <w:szCs w:val="17"/>
        </w:rPr>
        <w:t xml:space="preserve"> § 3 (</w:t>
      </w:r>
      <w:r w:rsidR="00315997" w:rsidRPr="006A612F">
        <w:rPr>
          <w:smallCaps/>
          <w:color w:val="000000"/>
          <w:szCs w:val="17"/>
        </w:rPr>
        <w:t>Am. L. Inst.</w:t>
      </w:r>
      <w:r w:rsidR="00315997" w:rsidRPr="006A612F">
        <w:rPr>
          <w:color w:val="000000"/>
          <w:szCs w:val="17"/>
        </w:rPr>
        <w:t xml:space="preserve"> 2010) (</w:t>
      </w:r>
      <w:r w:rsidRPr="006A612F">
        <w:rPr>
          <w:color w:val="000000"/>
          <w:szCs w:val="17"/>
        </w:rPr>
        <w:t>“</w:t>
      </w:r>
      <w:r w:rsidR="00315997" w:rsidRPr="006A612F">
        <w:rPr>
          <w:color w:val="000000"/>
          <w:szCs w:val="17"/>
          <w:shd w:val="clear" w:color="auto" w:fill="FFFFFF"/>
        </w:rPr>
        <w:t>A person acts negligently if the person does not exercise reasonable care under all the circumstances.</w:t>
      </w:r>
      <w:r w:rsidRPr="006A612F">
        <w:rPr>
          <w:color w:val="000000"/>
          <w:szCs w:val="17"/>
          <w:shd w:val="clear" w:color="auto" w:fill="FFFFFF"/>
        </w:rPr>
        <w:t>”</w:t>
      </w:r>
      <w:r w:rsidR="00315997" w:rsidRPr="006A612F">
        <w:rPr>
          <w:color w:val="000000"/>
          <w:szCs w:val="17"/>
          <w:shd w:val="clear" w:color="auto" w:fill="FFFFFF"/>
        </w:rPr>
        <w:t>).</w:t>
      </w:r>
    </w:p>
  </w:footnote>
  <w:footnote w:id="202">
    <w:p w14:paraId="521EAD4E" w14:textId="171364EB"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The Wolters Kluwer Blouvier Law Dictionary defines the </w:t>
      </w:r>
      <w:r w:rsidRPr="006A612F">
        <w:rPr>
          <w:szCs w:val="17"/>
        </w:rPr>
        <w:t>“</w:t>
      </w:r>
      <w:r w:rsidR="00315997" w:rsidRPr="006A612F">
        <w:rPr>
          <w:szCs w:val="17"/>
        </w:rPr>
        <w:t>reasonable person</w:t>
      </w:r>
      <w:r w:rsidRPr="006A612F">
        <w:rPr>
          <w:szCs w:val="17"/>
        </w:rPr>
        <w:t>”</w:t>
      </w:r>
      <w:r w:rsidR="00315997" w:rsidRPr="006A612F">
        <w:rPr>
          <w:szCs w:val="17"/>
        </w:rPr>
        <w:t xml:space="preserve"> </w:t>
      </w:r>
      <w:r w:rsidR="00315997" w:rsidRPr="006A612F">
        <w:rPr>
          <w:szCs w:val="17"/>
        </w:rPr>
        <w:br/>
        <w:t>standard as:</w:t>
      </w:r>
    </w:p>
    <w:p w14:paraId="3407B411" w14:textId="336331F1" w:rsidR="00315997" w:rsidRPr="006A612F" w:rsidRDefault="00315997" w:rsidP="00AA6ED0">
      <w:pPr>
        <w:pStyle w:val="FootNote"/>
        <w:spacing w:line="240" w:lineRule="auto"/>
        <w:ind w:left="446" w:right="446"/>
        <w:rPr>
          <w:szCs w:val="17"/>
        </w:rPr>
      </w:pPr>
      <w:r w:rsidRPr="006A612F">
        <w:rPr>
          <w:szCs w:val="17"/>
        </w:rPr>
        <w:t>A standard of behavior based on the likely conduct of a typical, but thoughtful person</w:t>
      </w:r>
      <w:r w:rsidR="00BF278E" w:rsidRPr="006A612F">
        <w:rPr>
          <w:szCs w:val="17"/>
        </w:rPr>
        <w:t>. . . .</w:t>
      </w:r>
      <w:r w:rsidRPr="006A612F">
        <w:rPr>
          <w:szCs w:val="17"/>
        </w:rPr>
        <w:t xml:space="preserve"> The primary function of the reasonable person is to attempt to assess the actual conduct of a party who is accused of negligence, or a breach of duty or foresight, by comparing what the person did in fact to what a different person, who would not be negligent or knowingly in breach of a duty, would have done.</w:t>
      </w:r>
    </w:p>
    <w:p w14:paraId="66472C2E" w14:textId="694B27E5" w:rsidR="00315997" w:rsidRPr="006A612F" w:rsidRDefault="00315997" w:rsidP="00AA6ED0">
      <w:pPr>
        <w:pStyle w:val="FootNote"/>
        <w:spacing w:line="240" w:lineRule="auto"/>
        <w:rPr>
          <w:color w:val="373739"/>
          <w:szCs w:val="17"/>
        </w:rPr>
      </w:pPr>
      <w:r w:rsidRPr="006A612F">
        <w:rPr>
          <w:i/>
          <w:iCs/>
          <w:color w:val="000000" w:themeColor="text1"/>
          <w:szCs w:val="17"/>
        </w:rPr>
        <w:t>Reasonable Person (Reasonable Man or Reasonable Woman)</w:t>
      </w:r>
      <w:r w:rsidRPr="006A612F">
        <w:rPr>
          <w:color w:val="000000" w:themeColor="text1"/>
          <w:szCs w:val="17"/>
        </w:rPr>
        <w:t xml:space="preserve">, </w:t>
      </w:r>
      <w:r w:rsidRPr="006A612F">
        <w:rPr>
          <w:smallCaps/>
          <w:color w:val="000000" w:themeColor="text1"/>
          <w:szCs w:val="17"/>
        </w:rPr>
        <w:t>The Wolters Kluwer Bouvier Law Dictionary</w:t>
      </w:r>
      <w:r w:rsidRPr="006A612F">
        <w:rPr>
          <w:color w:val="000000" w:themeColor="text1"/>
          <w:szCs w:val="17"/>
        </w:rPr>
        <w:t xml:space="preserve"> (2012).</w:t>
      </w:r>
    </w:p>
  </w:footnote>
  <w:footnote w:id="203">
    <w:p w14:paraId="2693BB1B" w14:textId="2A9575BB"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w:t>
      </w:r>
      <w:r w:rsidR="00315997" w:rsidRPr="006A612F">
        <w:rPr>
          <w:color w:val="000000"/>
          <w:szCs w:val="17"/>
          <w:bdr w:val="none" w:sz="0" w:space="0" w:color="auto" w:frame="1"/>
        </w:rPr>
        <w:t>Samson v. City of Bainbridge Island</w:t>
      </w:r>
      <w:r w:rsidR="00315997" w:rsidRPr="006A612F">
        <w:rPr>
          <w:color w:val="000000"/>
          <w:szCs w:val="17"/>
        </w:rPr>
        <w:t>, 683 F.3d 1051, 1060 (9th Cir. 2012)</w:t>
      </w:r>
      <w:r w:rsidR="00315997" w:rsidRPr="006A612F">
        <w:rPr>
          <w:color w:val="000000"/>
          <w:szCs w:val="17"/>
          <w:shd w:val="clear" w:color="auto" w:fill="FFFFFF"/>
        </w:rPr>
        <w:t xml:space="preserve"> </w:t>
      </w:r>
      <w:r w:rsidR="00315997" w:rsidRPr="006A612F">
        <w:rPr>
          <w:color w:val="000000"/>
          <w:szCs w:val="17"/>
        </w:rPr>
        <w:t>(</w:t>
      </w:r>
      <w:r w:rsidRPr="006A612F">
        <w:rPr>
          <w:color w:val="000000"/>
          <w:szCs w:val="17"/>
        </w:rPr>
        <w:t>“</w:t>
      </w:r>
      <w:r w:rsidR="00315997" w:rsidRPr="006A612F">
        <w:rPr>
          <w:color w:val="000000"/>
          <w:szCs w:val="17"/>
          <w:shd w:val="clear" w:color="auto" w:fill="FFFFFF"/>
        </w:rPr>
        <w:t>Unless there is a </w:t>
      </w:r>
      <w:r w:rsidR="00315997" w:rsidRPr="006A612F">
        <w:rPr>
          <w:color w:val="000000"/>
          <w:szCs w:val="17"/>
          <w:bdr w:val="none" w:sz="0" w:space="0" w:color="auto" w:frame="1"/>
          <w:shd w:val="clear" w:color="auto" w:fill="FFFFFF"/>
        </w:rPr>
        <w:t>breach</w:t>
      </w:r>
      <w:r w:rsidR="00315997" w:rsidRPr="006A612F">
        <w:rPr>
          <w:color w:val="000000"/>
          <w:szCs w:val="17"/>
          <w:shd w:val="clear" w:color="auto" w:fill="FFFFFF"/>
        </w:rPr>
        <w:t> of </w:t>
      </w:r>
      <w:r w:rsidR="00315997" w:rsidRPr="006A612F">
        <w:rPr>
          <w:color w:val="000000"/>
          <w:szCs w:val="17"/>
          <w:bdr w:val="none" w:sz="0" w:space="0" w:color="auto" w:frame="1"/>
          <w:shd w:val="clear" w:color="auto" w:fill="FFFFFF"/>
        </w:rPr>
        <w:t>constitutional</w:t>
      </w:r>
      <w:r w:rsidR="00315997" w:rsidRPr="006A612F">
        <w:rPr>
          <w:color w:val="000000"/>
          <w:szCs w:val="17"/>
          <w:shd w:val="clear" w:color="auto" w:fill="FFFFFF"/>
        </w:rPr>
        <w:t> </w:t>
      </w:r>
      <w:r w:rsidR="00315997" w:rsidRPr="006A612F">
        <w:rPr>
          <w:color w:val="000000"/>
          <w:szCs w:val="17"/>
          <w:bdr w:val="none" w:sz="0" w:space="0" w:color="auto" w:frame="1"/>
          <w:shd w:val="clear" w:color="auto" w:fill="FFFFFF"/>
        </w:rPr>
        <w:t xml:space="preserve">rights, </w:t>
      </w:r>
      <w:r w:rsidRPr="006A612F">
        <w:rPr>
          <w:color w:val="000000"/>
          <w:szCs w:val="17"/>
          <w:bdr w:val="none" w:sz="0" w:space="0" w:color="auto" w:frame="1"/>
          <w:shd w:val="clear" w:color="auto" w:fill="FFFFFF"/>
        </w:rPr>
        <w:t>. . .</w:t>
      </w:r>
      <w:r w:rsidR="00315997" w:rsidRPr="006A612F">
        <w:rPr>
          <w:color w:val="000000"/>
          <w:szCs w:val="17"/>
          <w:bdr w:val="none" w:sz="0" w:space="0" w:color="auto" w:frame="1"/>
          <w:shd w:val="clear" w:color="auto" w:fill="FFFFFF"/>
        </w:rPr>
        <w:t xml:space="preserve"> </w:t>
      </w:r>
      <w:r w:rsidR="00315997" w:rsidRPr="006A612F">
        <w:rPr>
          <w:color w:val="000000"/>
          <w:szCs w:val="17"/>
          <w:shd w:val="clear" w:color="auto" w:fill="FFFFFF"/>
        </w:rPr>
        <w:t>§ </w:t>
      </w:r>
      <w:r w:rsidR="00315997" w:rsidRPr="006A612F">
        <w:rPr>
          <w:color w:val="000000"/>
          <w:szCs w:val="17"/>
          <w:bdr w:val="none" w:sz="0" w:space="0" w:color="auto" w:frame="1"/>
          <w:shd w:val="clear" w:color="auto" w:fill="FFFFFF"/>
        </w:rPr>
        <w:t>1983</w:t>
      </w:r>
      <w:r w:rsidR="00315997" w:rsidRPr="006A612F">
        <w:rPr>
          <w:color w:val="000000"/>
          <w:szCs w:val="17"/>
          <w:shd w:val="clear" w:color="auto" w:fill="FFFFFF"/>
        </w:rPr>
        <w:t> does not provide redress in federal court for violations of state law.</w:t>
      </w:r>
      <w:r w:rsidRPr="006A612F">
        <w:rPr>
          <w:color w:val="000000"/>
          <w:szCs w:val="17"/>
          <w:shd w:val="clear" w:color="auto" w:fill="FFFFFF"/>
        </w:rPr>
        <w:t>”</w:t>
      </w:r>
      <w:r w:rsidR="00315997" w:rsidRPr="006A612F">
        <w:rPr>
          <w:color w:val="000000"/>
          <w:szCs w:val="17"/>
          <w:shd w:val="clear" w:color="auto" w:fill="FFFFFF"/>
        </w:rPr>
        <w:t xml:space="preserve"> </w:t>
      </w:r>
      <w:r w:rsidR="00315997" w:rsidRPr="006A612F">
        <w:rPr>
          <w:color w:val="000000"/>
          <w:szCs w:val="17"/>
        </w:rPr>
        <w:t>(quoting Schlette v. Burdick</w:t>
      </w:r>
      <w:r w:rsidR="00315997" w:rsidRPr="006A612F">
        <w:rPr>
          <w:i/>
          <w:iCs/>
          <w:color w:val="000000"/>
          <w:szCs w:val="17"/>
        </w:rPr>
        <w:t>,</w:t>
      </w:r>
      <w:r w:rsidR="00315997" w:rsidRPr="006A612F">
        <w:rPr>
          <w:color w:val="000000"/>
          <w:szCs w:val="17"/>
        </w:rPr>
        <w:t> 633 F.2d 920, 922 n.3 (9th Cir. 1980))</w:t>
      </w:r>
      <w:r w:rsidR="00315997" w:rsidRPr="006A612F">
        <w:rPr>
          <w:color w:val="000000"/>
          <w:szCs w:val="17"/>
          <w:shd w:val="clear" w:color="auto" w:fill="FFFFFF"/>
        </w:rPr>
        <w:t>).</w:t>
      </w:r>
    </w:p>
  </w:footnote>
  <w:footnote w:id="204">
    <w:p w14:paraId="0C7DC6DD" w14:textId="23A7CD2D"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Albright v. Oliver, 510 U.S. 266, 273 (1994) (</w:t>
      </w:r>
      <w:r w:rsidRPr="006A612F">
        <w:rPr>
          <w:color w:val="000000"/>
          <w:szCs w:val="17"/>
        </w:rPr>
        <w:t>“</w:t>
      </w:r>
      <w:r w:rsidR="00315997" w:rsidRPr="006A612F">
        <w:rPr>
          <w:color w:val="000000"/>
          <w:szCs w:val="17"/>
        </w:rPr>
        <w:t xml:space="preserve">Where a particular Amendment </w:t>
      </w:r>
      <w:r w:rsidRPr="006A612F">
        <w:rPr>
          <w:color w:val="000000"/>
          <w:szCs w:val="17"/>
        </w:rPr>
        <w:t>‘</w:t>
      </w:r>
      <w:r w:rsidR="00315997" w:rsidRPr="006A612F">
        <w:rPr>
          <w:color w:val="000000"/>
          <w:szCs w:val="17"/>
        </w:rPr>
        <w:t>provides an explicit textual source of constitutional protection</w:t>
      </w:r>
      <w:r w:rsidRPr="006A612F">
        <w:rPr>
          <w:color w:val="000000"/>
          <w:szCs w:val="17"/>
        </w:rPr>
        <w:t>’</w:t>
      </w:r>
      <w:r w:rsidR="00315997" w:rsidRPr="006A612F">
        <w:rPr>
          <w:color w:val="000000"/>
          <w:szCs w:val="17"/>
        </w:rPr>
        <w:t xml:space="preserve"> against a particular sort of government behavior, </w:t>
      </w:r>
      <w:r w:rsidRPr="006A612F">
        <w:rPr>
          <w:color w:val="000000"/>
          <w:szCs w:val="17"/>
        </w:rPr>
        <w:t>‘</w:t>
      </w:r>
      <w:r w:rsidR="00315997" w:rsidRPr="006A612F">
        <w:rPr>
          <w:color w:val="000000"/>
          <w:szCs w:val="17"/>
        </w:rPr>
        <w:t xml:space="preserve">that Amendment, not the more generalized notion of </w:t>
      </w:r>
      <w:r w:rsidRPr="006A612F">
        <w:rPr>
          <w:color w:val="000000"/>
          <w:szCs w:val="17"/>
        </w:rPr>
        <w:t>“</w:t>
      </w:r>
      <w:r w:rsidR="00315997" w:rsidRPr="006A612F">
        <w:rPr>
          <w:color w:val="000000"/>
          <w:szCs w:val="17"/>
        </w:rPr>
        <w:t>substantive due process,</w:t>
      </w:r>
      <w:r w:rsidRPr="006A612F">
        <w:rPr>
          <w:color w:val="000000"/>
          <w:szCs w:val="17"/>
        </w:rPr>
        <w:t>”</w:t>
      </w:r>
      <w:r w:rsidR="00315997" w:rsidRPr="006A612F">
        <w:rPr>
          <w:color w:val="000000"/>
          <w:szCs w:val="17"/>
        </w:rPr>
        <w:t xml:space="preserve"> must be the guide for analyzing</w:t>
      </w:r>
      <w:r w:rsidRPr="006A612F">
        <w:rPr>
          <w:color w:val="000000"/>
          <w:szCs w:val="17"/>
        </w:rPr>
        <w:t>’</w:t>
      </w:r>
      <w:r w:rsidR="00315997" w:rsidRPr="006A612F">
        <w:rPr>
          <w:color w:val="000000"/>
          <w:szCs w:val="17"/>
        </w:rPr>
        <w:t xml:space="preserve"> such a claim</w:t>
      </w:r>
      <w:r w:rsidR="00315997" w:rsidRPr="006A612F">
        <w:rPr>
          <w:szCs w:val="17"/>
        </w:rPr>
        <w:t>.</w:t>
      </w:r>
      <w:r w:rsidRPr="006A612F">
        <w:rPr>
          <w:szCs w:val="17"/>
        </w:rPr>
        <w:t>”</w:t>
      </w:r>
      <w:r w:rsidR="00315997" w:rsidRPr="006A612F">
        <w:rPr>
          <w:szCs w:val="17"/>
        </w:rPr>
        <w:t xml:space="preserve"> (quoting Graham v. Connor, 490 U.S. 386, 395 (1989))); </w:t>
      </w:r>
      <w:r w:rsidR="00315997" w:rsidRPr="006A612F">
        <w:rPr>
          <w:i/>
          <w:szCs w:val="17"/>
        </w:rPr>
        <w:t>see also</w:t>
      </w:r>
      <w:r w:rsidR="00315997" w:rsidRPr="006A612F">
        <w:rPr>
          <w:szCs w:val="17"/>
        </w:rPr>
        <w:t xml:space="preserve"> </w:t>
      </w:r>
      <w:r w:rsidR="00315997" w:rsidRPr="006A612F">
        <w:rPr>
          <w:color w:val="000000"/>
          <w:szCs w:val="17"/>
          <w:bdr w:val="none" w:sz="0" w:space="0" w:color="auto" w:frame="1"/>
        </w:rPr>
        <w:t>United States v. Lanier,</w:t>
      </w:r>
      <w:r w:rsidR="000B1D04" w:rsidRPr="006A612F">
        <w:rPr>
          <w:color w:val="000000"/>
          <w:szCs w:val="17"/>
        </w:rPr>
        <w:t xml:space="preserve"> </w:t>
      </w:r>
      <w:r w:rsidR="00315997" w:rsidRPr="006A612F">
        <w:rPr>
          <w:color w:val="000000"/>
          <w:szCs w:val="17"/>
        </w:rPr>
        <w:t>520 U.S. 259, 272 n.7 (1997) (</w:t>
      </w:r>
      <w:r w:rsidRPr="006A612F">
        <w:rPr>
          <w:color w:val="000000"/>
          <w:szCs w:val="17"/>
        </w:rPr>
        <w:t>“</w:t>
      </w:r>
      <w:r w:rsidR="00315997" w:rsidRPr="006A612F">
        <w:rPr>
          <w:color w:val="000000"/>
          <w:szCs w:val="17"/>
        </w:rPr>
        <w:t>[I]f a constitutional claim is covered by a specific constitutional provision, such as the Fourth or Eighth Amendment, the claim must be analyzed under the standard appropriate to that specific provision, not under the rubric of substantive due process.</w:t>
      </w:r>
      <w:r w:rsidRPr="006A612F">
        <w:rPr>
          <w:color w:val="000000"/>
          <w:szCs w:val="17"/>
        </w:rPr>
        <w:t>”</w:t>
      </w:r>
      <w:r w:rsidR="00315997" w:rsidRPr="006A612F">
        <w:rPr>
          <w:color w:val="000000"/>
          <w:szCs w:val="17"/>
        </w:rPr>
        <w:t>).</w:t>
      </w:r>
    </w:p>
  </w:footnote>
  <w:footnote w:id="205">
    <w:p w14:paraId="5042CDC6" w14:textId="6298684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Graham</w:t>
      </w:r>
      <w:r w:rsidR="00315997" w:rsidRPr="006A612F">
        <w:rPr>
          <w:szCs w:val="17"/>
        </w:rPr>
        <w:t>, 490 U.S. at 388.</w:t>
      </w:r>
    </w:p>
  </w:footnote>
  <w:footnote w:id="206">
    <w:p w14:paraId="2DDCF554" w14:textId="4090ABF1" w:rsidR="00315997" w:rsidRPr="006A612F" w:rsidRDefault="00BF278E" w:rsidP="00AA6ED0">
      <w:pPr>
        <w:pStyle w:val="FootNote"/>
        <w:spacing w:line="240" w:lineRule="auto"/>
        <w:rPr>
          <w:szCs w:val="17"/>
        </w:rPr>
      </w:pP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\r12 \* MERGEFORMAT </w:instrText>
      </w:r>
      <w:r w:rsidRPr="006A612F">
        <w:rPr>
          <w:color w:val="000000"/>
          <w:szCs w:val="17"/>
          <w:bdr w:val="none" w:sz="0" w:space="0" w:color="auto" w:frame="1"/>
        </w:rPr>
        <w:fldChar w:fldCharType="end"/>
      </w:r>
      <w:r w:rsidR="00315997" w:rsidRPr="00732F34">
        <w:rPr>
          <w:rStyle w:val="NoterefInNote"/>
        </w:rPr>
        <w:footnoteRef/>
      </w:r>
      <w:r w:rsidRPr="00732F34">
        <w:rPr>
          <w:color w:val="000000"/>
          <w:szCs w:val="17"/>
          <w:bdr w:val="none" w:sz="0" w:space="0" w:color="auto" w:frame="1"/>
        </w:rPr>
        <w:t>.</w:t>
      </w: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\r4 \* MERGEFORMAT </w:instrText>
      </w:r>
      <w:r w:rsidRPr="006A612F">
        <w:rPr>
          <w:color w:val="000000"/>
          <w:szCs w:val="17"/>
          <w:bdr w:val="none" w:sz="0" w:space="0" w:color="auto" w:frame="1"/>
        </w:rPr>
        <w:fldChar w:fldCharType="end"/>
      </w:r>
      <w:r w:rsidR="00315997" w:rsidRPr="006A612F">
        <w:rPr>
          <w:color w:val="000000"/>
          <w:szCs w:val="17"/>
          <w:bdr w:val="none" w:sz="0" w:space="0" w:color="auto" w:frame="1"/>
        </w:rPr>
        <w:t>County of Sacramento v. Lewis</w:t>
      </w:r>
      <w:r w:rsidR="00315997" w:rsidRPr="006A612F">
        <w:rPr>
          <w:color w:val="000000"/>
          <w:szCs w:val="17"/>
        </w:rPr>
        <w:t>, 523 U.S. 833, 846, 849 (1998).</w:t>
      </w:r>
    </w:p>
  </w:footnote>
  <w:footnote w:id="207">
    <w:p w14:paraId="10BC6D89" w14:textId="7AA9963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To defend against a classic negligence claim, the defendant must show that they acted in accordance with how a </w:t>
      </w:r>
      <w:r w:rsidRPr="006A612F">
        <w:rPr>
          <w:szCs w:val="17"/>
        </w:rPr>
        <w:t>“</w:t>
      </w:r>
      <w:r w:rsidR="00315997" w:rsidRPr="006A612F">
        <w:rPr>
          <w:szCs w:val="17"/>
        </w:rPr>
        <w:t>reasonable person</w:t>
      </w:r>
      <w:r w:rsidRPr="006A612F">
        <w:rPr>
          <w:szCs w:val="17"/>
        </w:rPr>
        <w:t>”</w:t>
      </w:r>
      <w:r w:rsidR="00315997" w:rsidRPr="006A612F">
        <w:rPr>
          <w:szCs w:val="17"/>
        </w:rPr>
        <w:t xml:space="preserve"> in their position would have acted. This is an objective standard that the court utilizes, based on a typical thoughtful person. </w:t>
      </w:r>
      <w:r w:rsidR="00315997" w:rsidRPr="006A612F">
        <w:rPr>
          <w:i/>
          <w:szCs w:val="17"/>
        </w:rPr>
        <w:t>See</w:t>
      </w:r>
      <w:r w:rsidR="00315997" w:rsidRPr="006A612F">
        <w:rPr>
          <w:szCs w:val="17"/>
        </w:rPr>
        <w:t xml:space="preserve"> </w:t>
      </w:r>
      <w:r w:rsidR="00315997" w:rsidRPr="006A612F">
        <w:rPr>
          <w:i/>
          <w:iCs/>
          <w:szCs w:val="17"/>
        </w:rPr>
        <w:t>Reasonable Person</w:t>
      </w:r>
      <w:r w:rsidR="00315997" w:rsidRPr="006A612F">
        <w:rPr>
          <w:iCs/>
          <w:szCs w:val="17"/>
        </w:rPr>
        <w:t>,</w:t>
      </w:r>
      <w:r w:rsidR="00315997" w:rsidRPr="006A612F">
        <w:rPr>
          <w:szCs w:val="17"/>
        </w:rPr>
        <w:t xml:space="preserve"> </w:t>
      </w:r>
      <w:r w:rsidR="00315997" w:rsidRPr="006A612F">
        <w:rPr>
          <w:smallCaps/>
          <w:szCs w:val="17"/>
        </w:rPr>
        <w:t>The Wolters Kluwer Bouvier Law Dictionary</w:t>
      </w:r>
      <w:r w:rsidR="00315997" w:rsidRPr="006A612F">
        <w:rPr>
          <w:szCs w:val="17"/>
        </w:rPr>
        <w:t xml:space="preserve"> (2012) (defining this term and providing additional legal context)</w:t>
      </w:r>
      <w:r w:rsidR="00315997" w:rsidRPr="006A612F">
        <w:rPr>
          <w:i/>
          <w:iCs/>
          <w:szCs w:val="17"/>
        </w:rPr>
        <w:t>.</w:t>
      </w:r>
      <w:r w:rsidR="00315997" w:rsidRPr="006A612F">
        <w:rPr>
          <w:szCs w:val="17"/>
        </w:rPr>
        <w:t xml:space="preserve"> Similarly, the Fourth Amendment standard for a § 1983 claim based on excessive force would require the defense to show that the police officer</w:t>
      </w:r>
      <w:r w:rsidRPr="006A612F">
        <w:rPr>
          <w:szCs w:val="17"/>
        </w:rPr>
        <w:t>’</w:t>
      </w:r>
      <w:r w:rsidR="00315997" w:rsidRPr="006A612F">
        <w:rPr>
          <w:szCs w:val="17"/>
        </w:rPr>
        <w:t xml:space="preserve">s </w:t>
      </w:r>
      <w:r w:rsidR="00315997" w:rsidRPr="006A612F">
        <w:rPr>
          <w:rFonts w:eastAsia="Verdana"/>
          <w:szCs w:val="17"/>
        </w:rPr>
        <w:t xml:space="preserve">actions </w:t>
      </w:r>
      <w:r w:rsidR="00315997" w:rsidRPr="006A612F">
        <w:rPr>
          <w:szCs w:val="17"/>
        </w:rPr>
        <w:t xml:space="preserve">were </w:t>
      </w:r>
      <w:r w:rsidRPr="006A612F">
        <w:rPr>
          <w:szCs w:val="17"/>
        </w:rPr>
        <w:t>“‘</w:t>
      </w:r>
      <w:r w:rsidR="00315997" w:rsidRPr="006A612F">
        <w:rPr>
          <w:szCs w:val="17"/>
        </w:rPr>
        <w:t>objectively reasonable</w:t>
      </w:r>
      <w:r w:rsidRPr="006A612F">
        <w:rPr>
          <w:szCs w:val="17"/>
        </w:rPr>
        <w:t>’</w:t>
      </w:r>
      <w:r w:rsidR="00315997" w:rsidRPr="006A612F">
        <w:rPr>
          <w:szCs w:val="17"/>
        </w:rPr>
        <w:t xml:space="preserve"> in </w:t>
      </w:r>
      <w:r w:rsidR="00315997" w:rsidRPr="006A612F">
        <w:rPr>
          <w:rFonts w:eastAsia="Verdana"/>
          <w:szCs w:val="17"/>
        </w:rPr>
        <w:t>light of the facts and circumstances confronting them, without regard to their underlying intent or motivation</w:t>
      </w:r>
      <w:r w:rsidR="00315997" w:rsidRPr="006A612F">
        <w:rPr>
          <w:szCs w:val="17"/>
        </w:rPr>
        <w:t>.</w:t>
      </w:r>
      <w:r w:rsidRPr="006A612F">
        <w:rPr>
          <w:szCs w:val="17"/>
        </w:rPr>
        <w:t>”</w:t>
      </w:r>
      <w:r w:rsidR="00315997" w:rsidRPr="006A612F">
        <w:rPr>
          <w:szCs w:val="17"/>
        </w:rPr>
        <w:t xml:space="preserve"> </w:t>
      </w:r>
      <w:r w:rsidR="00315997" w:rsidRPr="006A612F">
        <w:rPr>
          <w:i/>
          <w:iCs/>
          <w:szCs w:val="17"/>
        </w:rPr>
        <w:t>Graham</w:t>
      </w:r>
      <w:r w:rsidR="00315997" w:rsidRPr="006A612F">
        <w:rPr>
          <w:szCs w:val="17"/>
        </w:rPr>
        <w:t>, 490 U.S. at 397. In both instances, the court would use an objective standard to fairly determine whether the defendant</w:t>
      </w:r>
      <w:r w:rsidRPr="006A612F">
        <w:rPr>
          <w:szCs w:val="17"/>
        </w:rPr>
        <w:t>’</w:t>
      </w:r>
      <w:r w:rsidR="00315997" w:rsidRPr="006A612F">
        <w:rPr>
          <w:szCs w:val="17"/>
        </w:rPr>
        <w:t>s conduct met the standard of conduct that society would typically expect from a person in their position.</w:t>
      </w:r>
    </w:p>
  </w:footnote>
  <w:footnote w:id="208">
    <w:p w14:paraId="27C2E854" w14:textId="325FE34A" w:rsidR="00315997" w:rsidRPr="006A612F" w:rsidRDefault="00BF278E" w:rsidP="00AA6ED0">
      <w:pPr>
        <w:pStyle w:val="FootNote"/>
        <w:spacing w:line="240" w:lineRule="auto"/>
        <w:rPr>
          <w:color w:val="373739"/>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DeShaney v. Winnebago Cnty. Dep</w:t>
      </w:r>
      <w:r w:rsidRPr="006A612F">
        <w:rPr>
          <w:szCs w:val="17"/>
        </w:rPr>
        <w:t>’</w:t>
      </w:r>
      <w:r w:rsidR="00315997" w:rsidRPr="006A612F">
        <w:rPr>
          <w:szCs w:val="17"/>
        </w:rPr>
        <w:t>t of Soc. Servs., 489 U.S. 189, 199–200 (1989) (</w:t>
      </w:r>
      <w:r w:rsidRPr="006A612F">
        <w:rPr>
          <w:szCs w:val="17"/>
        </w:rPr>
        <w:t>“</w:t>
      </w:r>
      <w:r w:rsidR="00315997" w:rsidRPr="006A612F">
        <w:rPr>
          <w:szCs w:val="17"/>
        </w:rPr>
        <w:t>[W]hen the State takes a person into its custody and holds him there against his will, the Constitution imposes upon it a corresponding duty to assume some responsibility for his safety and general well-being.</w:t>
      </w:r>
      <w:r w:rsidRPr="006A612F">
        <w:rPr>
          <w:szCs w:val="17"/>
        </w:rPr>
        <w:t>”</w:t>
      </w:r>
      <w:r w:rsidR="00315997" w:rsidRPr="006A612F">
        <w:rPr>
          <w:szCs w:val="17"/>
        </w:rPr>
        <w:t>). The Supreme Court</w:t>
      </w:r>
      <w:r w:rsidRPr="006A612F">
        <w:rPr>
          <w:szCs w:val="17"/>
        </w:rPr>
        <w:t>’</w:t>
      </w:r>
      <w:r w:rsidR="00315997" w:rsidRPr="006A612F">
        <w:rPr>
          <w:szCs w:val="17"/>
        </w:rPr>
        <w:t>s reasoning here is that the state</w:t>
      </w:r>
      <w:r w:rsidRPr="006A612F">
        <w:rPr>
          <w:szCs w:val="17"/>
        </w:rPr>
        <w:t>’</w:t>
      </w:r>
      <w:r w:rsidR="00315997" w:rsidRPr="006A612F">
        <w:rPr>
          <w:szCs w:val="17"/>
        </w:rPr>
        <w:t>s affirmative duty to protect the person arises from the fact that they have placed limitations on the person</w:t>
      </w:r>
      <w:r w:rsidRPr="006A612F">
        <w:rPr>
          <w:szCs w:val="17"/>
        </w:rPr>
        <w:t>’</w:t>
      </w:r>
      <w:r w:rsidR="00315997" w:rsidRPr="006A612F">
        <w:rPr>
          <w:szCs w:val="17"/>
        </w:rPr>
        <w:t>s freedom to act on his own behalf and care for himself. Since the person can no longer care for himself due to the state</w:t>
      </w:r>
      <w:r w:rsidRPr="006A612F">
        <w:rPr>
          <w:szCs w:val="17"/>
        </w:rPr>
        <w:t>’</w:t>
      </w:r>
      <w:r w:rsidR="00315997" w:rsidRPr="006A612F">
        <w:rPr>
          <w:szCs w:val="17"/>
        </w:rPr>
        <w:t>s actions, it is now the state</w:t>
      </w:r>
      <w:r w:rsidRPr="006A612F">
        <w:rPr>
          <w:szCs w:val="17"/>
        </w:rPr>
        <w:t>’</w:t>
      </w:r>
      <w:r w:rsidR="00315997" w:rsidRPr="006A612F">
        <w:rPr>
          <w:szCs w:val="17"/>
        </w:rPr>
        <w:t>s duty to care for that person. The Court expressly states that this duty arises only when the individual has been restrained by and is in the care of the state, not at any other time.</w:t>
      </w:r>
    </w:p>
  </w:footnote>
  <w:footnote w:id="209">
    <w:p w14:paraId="7B57A3E5" w14:textId="16087136" w:rsidR="00315997" w:rsidRPr="006A612F" w:rsidRDefault="00BF278E" w:rsidP="00AA6ED0">
      <w:pPr>
        <w:pStyle w:val="FootNote"/>
        <w:spacing w:line="240" w:lineRule="auto"/>
        <w:rPr>
          <w:szCs w:val="17"/>
        </w:rPr>
      </w:pP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\r12 \* MERGEFORMAT </w:instrText>
      </w:r>
      <w:r w:rsidRPr="006A612F">
        <w:rPr>
          <w:color w:val="000000"/>
          <w:szCs w:val="17"/>
          <w:bdr w:val="none" w:sz="0" w:space="0" w:color="auto" w:frame="1"/>
        </w:rPr>
        <w:fldChar w:fldCharType="end"/>
      </w:r>
      <w:r w:rsidR="00315997" w:rsidRPr="00732F34">
        <w:rPr>
          <w:rStyle w:val="NoterefInNote"/>
        </w:rPr>
        <w:footnoteRef/>
      </w:r>
      <w:r w:rsidRPr="00732F34">
        <w:rPr>
          <w:color w:val="000000"/>
          <w:szCs w:val="17"/>
          <w:bdr w:val="none" w:sz="0" w:space="0" w:color="auto" w:frame="1"/>
        </w:rPr>
        <w:t>.</w:t>
      </w: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\r4 \* MERGEFORMAT </w:instrText>
      </w:r>
      <w:r w:rsidRPr="006A612F">
        <w:rPr>
          <w:color w:val="000000"/>
          <w:szCs w:val="17"/>
          <w:bdr w:val="none" w:sz="0" w:space="0" w:color="auto" w:frame="1"/>
        </w:rPr>
        <w:fldChar w:fldCharType="end"/>
      </w:r>
      <w:r w:rsidR="00315997" w:rsidRPr="006A612F">
        <w:rPr>
          <w:color w:val="000000"/>
          <w:szCs w:val="17"/>
          <w:bdr w:val="none" w:sz="0" w:space="0" w:color="auto" w:frame="1"/>
        </w:rPr>
        <w:t>Randall v. Prince George</w:t>
      </w:r>
      <w:r w:rsidRPr="006A612F">
        <w:rPr>
          <w:color w:val="000000"/>
          <w:szCs w:val="17"/>
          <w:bdr w:val="none" w:sz="0" w:space="0" w:color="auto" w:frame="1"/>
        </w:rPr>
        <w:t>’</w:t>
      </w:r>
      <w:r w:rsidR="00315997" w:rsidRPr="006A612F">
        <w:rPr>
          <w:color w:val="000000"/>
          <w:szCs w:val="17"/>
          <w:bdr w:val="none" w:sz="0" w:space="0" w:color="auto" w:frame="1"/>
        </w:rPr>
        <w:t>s County</w:t>
      </w:r>
      <w:r w:rsidR="00315997" w:rsidRPr="006A612F">
        <w:rPr>
          <w:color w:val="000000"/>
          <w:szCs w:val="17"/>
        </w:rPr>
        <w:t>, 302 F.3d 188, 203 (4th Cir. 2002).</w:t>
      </w:r>
    </w:p>
  </w:footnote>
  <w:footnote w:id="210">
    <w:p w14:paraId="6C379009" w14:textId="5E00054A"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42 U.S.C. § 1983. The wording of § 1983 places civil liability on any person who, acting under the color of law, deprives an individual within the jurisdiction of the United States of any </w:t>
      </w:r>
      <w:r w:rsidRPr="006A612F">
        <w:rPr>
          <w:szCs w:val="17"/>
        </w:rPr>
        <w:t>“</w:t>
      </w:r>
      <w:r w:rsidR="00315997" w:rsidRPr="006A612F">
        <w:rPr>
          <w:szCs w:val="17"/>
        </w:rPr>
        <w:t>rights, privileges, or immunities secured by the constitution and laws.</w:t>
      </w:r>
      <w:r w:rsidRPr="006A612F">
        <w:rPr>
          <w:szCs w:val="17"/>
        </w:rPr>
        <w:t>”</w:t>
      </w:r>
      <w:r w:rsidR="00315997" w:rsidRPr="006A612F">
        <w:rPr>
          <w:szCs w:val="17"/>
        </w:rPr>
        <w:t xml:space="preserve"> </w:t>
      </w:r>
      <w:r w:rsidR="00315997" w:rsidRPr="0024777B">
        <w:rPr>
          <w:i/>
          <w:szCs w:val="17"/>
        </w:rPr>
        <w:t>Id.</w:t>
      </w:r>
      <w:r w:rsidR="00315997" w:rsidRPr="006A612F">
        <w:rPr>
          <w:szCs w:val="17"/>
        </w:rPr>
        <w:t xml:space="preserve"> A logical rephrasing of this would be that a person acting under the color of law has a duty not to deprive individuals of constitutionally, or federally, guaranteed rights, privileges, or immunities.</w:t>
      </w:r>
    </w:p>
  </w:footnote>
  <w:footnote w:id="211">
    <w:p w14:paraId="2A9D8F40" w14:textId="0776DFC7" w:rsidR="00315997" w:rsidRPr="006A612F" w:rsidRDefault="00BF278E" w:rsidP="00AA6ED0">
      <w:pPr>
        <w:pStyle w:val="FootNote"/>
        <w:spacing w:line="240" w:lineRule="auto"/>
        <w:rPr>
          <w:rFonts w:eastAsia="Helvetica"/>
          <w:color w:val="373739"/>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Restatement (Second)</w:t>
      </w:r>
      <w:r w:rsidR="00315997" w:rsidRPr="006A612F">
        <w:rPr>
          <w:rFonts w:eastAsia="Helvetica"/>
          <w:smallCaps/>
          <w:szCs w:val="17"/>
        </w:rPr>
        <w:t xml:space="preserve"> of Torts</w:t>
      </w:r>
      <w:r w:rsidR="00315997" w:rsidRPr="006A612F">
        <w:rPr>
          <w:rFonts w:eastAsia="Helvetica"/>
          <w:szCs w:val="17"/>
        </w:rPr>
        <w:t xml:space="preserve"> § 315</w:t>
      </w:r>
      <w:r w:rsidR="00315997" w:rsidRPr="006A612F">
        <w:rPr>
          <w:szCs w:val="17"/>
        </w:rPr>
        <w:t xml:space="preserve"> (</w:t>
      </w:r>
      <w:r w:rsidR="00315997" w:rsidRPr="006A612F">
        <w:rPr>
          <w:smallCaps/>
          <w:szCs w:val="17"/>
        </w:rPr>
        <w:t>Am. L. Inst.</w:t>
      </w:r>
      <w:r w:rsidR="00315997" w:rsidRPr="006A612F">
        <w:rPr>
          <w:szCs w:val="17"/>
        </w:rPr>
        <w:t xml:space="preserve"> 1979).</w:t>
      </w:r>
    </w:p>
  </w:footnote>
  <w:footnote w:id="212">
    <w:p w14:paraId="798D45F7" w14:textId="600FD3E8" w:rsidR="00315997" w:rsidRPr="006A612F" w:rsidRDefault="00BF278E" w:rsidP="00AA6ED0">
      <w:pPr>
        <w:pStyle w:val="FootNote"/>
        <w:spacing w:line="240" w:lineRule="auto"/>
        <w:rPr>
          <w:szCs w:val="17"/>
        </w:rPr>
      </w:pP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\r12 \* MERGEFORMAT </w:instrText>
      </w:r>
      <w:r w:rsidRPr="006A612F">
        <w:rPr>
          <w:color w:val="000000"/>
          <w:szCs w:val="17"/>
          <w:bdr w:val="none" w:sz="0" w:space="0" w:color="auto" w:frame="1"/>
        </w:rPr>
        <w:fldChar w:fldCharType="end"/>
      </w:r>
      <w:r w:rsidR="00315997" w:rsidRPr="00732F34">
        <w:rPr>
          <w:rStyle w:val="NoterefInNote"/>
        </w:rPr>
        <w:footnoteRef/>
      </w:r>
      <w:r w:rsidRPr="00732F34">
        <w:rPr>
          <w:color w:val="000000"/>
          <w:szCs w:val="17"/>
          <w:bdr w:val="none" w:sz="0" w:space="0" w:color="auto" w:frame="1"/>
        </w:rPr>
        <w:t>.</w:t>
      </w: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\r4 \* MERGEFORMAT </w:instrText>
      </w:r>
      <w:r w:rsidRPr="006A612F">
        <w:rPr>
          <w:color w:val="000000"/>
          <w:szCs w:val="17"/>
          <w:bdr w:val="none" w:sz="0" w:space="0" w:color="auto" w:frame="1"/>
        </w:rPr>
        <w:fldChar w:fldCharType="end"/>
      </w:r>
      <w:r w:rsidR="00315997" w:rsidRPr="006A612F">
        <w:rPr>
          <w:color w:val="000000"/>
          <w:szCs w:val="17"/>
          <w:bdr w:val="none" w:sz="0" w:space="0" w:color="auto" w:frame="1"/>
        </w:rPr>
        <w:t>Bd. of Cnty. Comm</w:t>
      </w:r>
      <w:r w:rsidRPr="006A612F">
        <w:rPr>
          <w:color w:val="000000"/>
          <w:szCs w:val="17"/>
          <w:bdr w:val="none" w:sz="0" w:space="0" w:color="auto" w:frame="1"/>
        </w:rPr>
        <w:t>’</w:t>
      </w:r>
      <w:r w:rsidR="00315997" w:rsidRPr="006A612F">
        <w:rPr>
          <w:color w:val="000000"/>
          <w:szCs w:val="17"/>
          <w:bdr w:val="none" w:sz="0" w:space="0" w:color="auto" w:frame="1"/>
        </w:rPr>
        <w:t>rs of Bryan Cnty. v. Brown</w:t>
      </w:r>
      <w:r w:rsidR="00315997" w:rsidRPr="006A612F">
        <w:rPr>
          <w:color w:val="000000"/>
          <w:szCs w:val="17"/>
        </w:rPr>
        <w:t>, 520 U.S. 397, 403 (1997).</w:t>
      </w:r>
    </w:p>
  </w:footnote>
  <w:footnote w:id="213">
    <w:p w14:paraId="3BC20C04" w14:textId="6D8A79A6"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See</w:t>
      </w:r>
      <w:r w:rsidR="00315997" w:rsidRPr="006A612F">
        <w:rPr>
          <w:szCs w:val="17"/>
        </w:rPr>
        <w:t xml:space="preserve"> Kenneth S. Abraham, </w:t>
      </w:r>
      <w:r w:rsidR="00315997" w:rsidRPr="006A612F">
        <w:rPr>
          <w:i/>
          <w:iCs/>
          <w:szCs w:val="17"/>
        </w:rPr>
        <w:t>Self-Proving Causation</w:t>
      </w:r>
      <w:r w:rsidR="00315997" w:rsidRPr="006A612F">
        <w:rPr>
          <w:szCs w:val="17"/>
        </w:rPr>
        <w:t xml:space="preserve">, 99 </w:t>
      </w:r>
      <w:r w:rsidR="00315997" w:rsidRPr="006A612F">
        <w:rPr>
          <w:smallCaps/>
          <w:szCs w:val="17"/>
        </w:rPr>
        <w:t>Va. L. Rev.</w:t>
      </w:r>
      <w:r w:rsidR="00315997" w:rsidRPr="006A612F">
        <w:rPr>
          <w:szCs w:val="17"/>
        </w:rPr>
        <w:t xml:space="preserve"> 1811, 1842–43 (2013) (noting that </w:t>
      </w:r>
      <w:r w:rsidRPr="006A612F">
        <w:rPr>
          <w:szCs w:val="17"/>
        </w:rPr>
        <w:t>“</w:t>
      </w:r>
      <w:r w:rsidR="00315997" w:rsidRPr="006A612F">
        <w:rPr>
          <w:szCs w:val="17"/>
        </w:rPr>
        <w:t>[i]</w:t>
      </w:r>
      <w:r w:rsidR="00315997" w:rsidRPr="006A612F">
        <w:rPr>
          <w:szCs w:val="17"/>
          <w:shd w:val="clear" w:color="auto" w:fill="FFFFFF"/>
        </w:rPr>
        <w:t xml:space="preserve">n some cases, however, the function of </w:t>
      </w:r>
      <w:r w:rsidR="00315997" w:rsidRPr="006A612F">
        <w:rPr>
          <w:iCs/>
          <w:szCs w:val="17"/>
          <w:shd w:val="clear" w:color="auto" w:fill="FFFFFF"/>
        </w:rPr>
        <w:t>res ipsa</w:t>
      </w:r>
      <w:r w:rsidR="00315997" w:rsidRPr="006A612F">
        <w:rPr>
          <w:szCs w:val="17"/>
          <w:shd w:val="clear" w:color="auto" w:fill="FFFFFF"/>
        </w:rPr>
        <w:t xml:space="preserve"> is instead, or in addition, to </w:t>
      </w:r>
      <w:r w:rsidRPr="006A612F">
        <w:rPr>
          <w:szCs w:val="17"/>
          <w:shd w:val="clear" w:color="auto" w:fill="FFFFFF"/>
        </w:rPr>
        <w:t>‘</w:t>
      </w:r>
      <w:r w:rsidR="00315997" w:rsidRPr="006A612F">
        <w:rPr>
          <w:szCs w:val="17"/>
          <w:shd w:val="clear" w:color="auto" w:fill="FFFFFF"/>
        </w:rPr>
        <w:t>smoke out</w:t>
      </w:r>
      <w:r w:rsidRPr="006A612F">
        <w:rPr>
          <w:szCs w:val="17"/>
          <w:shd w:val="clear" w:color="auto" w:fill="FFFFFF"/>
        </w:rPr>
        <w:t>’</w:t>
      </w:r>
      <w:r w:rsidR="00315997" w:rsidRPr="006A612F">
        <w:rPr>
          <w:szCs w:val="17"/>
          <w:shd w:val="clear" w:color="auto" w:fill="FFFFFF"/>
        </w:rPr>
        <w:t xml:space="preserve"> evidence from the defendant that would not otherwise be produced</w:t>
      </w:r>
      <w:r w:rsidRPr="006A612F">
        <w:rPr>
          <w:szCs w:val="17"/>
          <w:shd w:val="clear" w:color="auto" w:fill="FFFFFF"/>
        </w:rPr>
        <w:t>”</w:t>
      </w:r>
      <w:r w:rsidR="00315997" w:rsidRPr="006A612F">
        <w:rPr>
          <w:szCs w:val="17"/>
          <w:shd w:val="clear" w:color="auto" w:fill="FFFFFF"/>
        </w:rPr>
        <w:t>).</w:t>
      </w:r>
    </w:p>
  </w:footnote>
  <w:footnote w:id="214">
    <w:p w14:paraId="1E53D5E3" w14:textId="47D89E62"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Dobbs</w:t>
      </w:r>
      <w:r w:rsidR="00315997" w:rsidRPr="006A612F">
        <w:rPr>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_Ref83810201 \h  \* MERGEFORMAT </w:instrText>
      </w:r>
      <w:r w:rsidR="00315997" w:rsidRPr="006A612F">
        <w:rPr>
          <w:szCs w:val="17"/>
        </w:rPr>
      </w:r>
      <w:r w:rsidR="00315997" w:rsidRPr="006A612F">
        <w:rPr>
          <w:szCs w:val="17"/>
        </w:rPr>
        <w:fldChar w:fldCharType="separate"/>
      </w:r>
      <w:r w:rsidR="00AA6ED0" w:rsidRPr="006A612F">
        <w:rPr>
          <w:szCs w:val="17"/>
        </w:rPr>
        <w:t>198</w:t>
      </w:r>
      <w:r w:rsidR="00315997" w:rsidRPr="006A612F">
        <w:rPr>
          <w:szCs w:val="17"/>
        </w:rPr>
        <w:fldChar w:fldCharType="end"/>
      </w:r>
      <w:r w:rsidR="00315997" w:rsidRPr="006A612F">
        <w:rPr>
          <w:szCs w:val="17"/>
        </w:rPr>
        <w:t xml:space="preserve">, § 170, at 413; </w:t>
      </w:r>
      <w:r w:rsidR="00315997" w:rsidRPr="006A612F">
        <w:rPr>
          <w:i/>
          <w:szCs w:val="17"/>
        </w:rPr>
        <w:t xml:space="preserve">see, </w:t>
      </w:r>
      <w:r w:rsidR="00315997" w:rsidRPr="0024777B">
        <w:rPr>
          <w:i/>
          <w:szCs w:val="17"/>
        </w:rPr>
        <w:t>e.g.</w:t>
      </w:r>
      <w:r w:rsidR="00315997" w:rsidRPr="006A612F">
        <w:rPr>
          <w:szCs w:val="17"/>
        </w:rPr>
        <w:t xml:space="preserve">, FTC v. WV Universal Mgmt., LLC, 877 F.3d 1234, 1240 (11th Cir. 2017) (discussing the </w:t>
      </w:r>
      <w:r w:rsidRPr="006A612F">
        <w:rPr>
          <w:szCs w:val="17"/>
        </w:rPr>
        <w:t>“</w:t>
      </w:r>
      <w:r w:rsidR="00315997" w:rsidRPr="006A612F">
        <w:rPr>
          <w:szCs w:val="17"/>
        </w:rPr>
        <w:t>well established torts concept</w:t>
      </w:r>
      <w:r w:rsidRPr="006A612F">
        <w:rPr>
          <w:szCs w:val="17"/>
        </w:rPr>
        <w:t>”</w:t>
      </w:r>
      <w:r w:rsidR="00315997" w:rsidRPr="006A612F">
        <w:rPr>
          <w:szCs w:val="17"/>
        </w:rPr>
        <w:t xml:space="preserve"> that aiding and abetting in a tort can result in joint and several liability and holding that the district court did not err in determining that the defendant was jointly and severally liable with the other members of a fraudulent telemarketing scheme).</w:t>
      </w:r>
    </w:p>
  </w:footnote>
  <w:footnote w:id="215">
    <w:p w14:paraId="1141368A" w14:textId="7FBBDF9A"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W. Page Keeton, Dan B. Dobbs, Robert E. Keeton &amp; David G. Owen, Prosser and Keeton on the Law of Torts</w:t>
      </w:r>
      <w:r w:rsidR="00315997" w:rsidRPr="006A612F">
        <w:rPr>
          <w:szCs w:val="17"/>
        </w:rPr>
        <w:t xml:space="preserve"> § 46 (5th ed. 1984)</w:t>
      </w:r>
      <w:r w:rsidR="000B1D04" w:rsidRPr="006A612F">
        <w:rPr>
          <w:szCs w:val="17"/>
        </w:rPr>
        <w:t>.</w:t>
      </w:r>
    </w:p>
  </w:footnote>
  <w:footnote w:id="216">
    <w:p w14:paraId="0DD61424" w14:textId="6C5AAD3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 xml:space="preserve">at 322–23. For example, in </w:t>
      </w:r>
      <w:r w:rsidR="00315997" w:rsidRPr="006A612F">
        <w:rPr>
          <w:i/>
          <w:szCs w:val="17"/>
        </w:rPr>
        <w:t>Wrabek v. Suchomel</w:t>
      </w:r>
      <w:r w:rsidR="00315997" w:rsidRPr="006A612F">
        <w:rPr>
          <w:szCs w:val="17"/>
        </w:rPr>
        <w:t xml:space="preserve">, the plaintiff alleged that the defendants coordinated their efforts when they assaulted him at a political meeting. 177 N.W. 764, 764–66 (Minn. 1920). Specifically, he alleged several defendants punched him, another snatched his political pin from his coat, and that at some point </w:t>
      </w:r>
      <w:r w:rsidRPr="006A612F">
        <w:rPr>
          <w:szCs w:val="17"/>
        </w:rPr>
        <w:t>“</w:t>
      </w:r>
      <w:r w:rsidR="00315997" w:rsidRPr="006A612F">
        <w:rPr>
          <w:szCs w:val="17"/>
        </w:rPr>
        <w:t xml:space="preserve">it was proposed </w:t>
      </w:r>
      <w:r w:rsidR="00315997" w:rsidRPr="006A612F">
        <w:rPr>
          <w:szCs w:val="17"/>
          <w:shd w:val="clear" w:color="auto" w:fill="FFFFFF"/>
        </w:rPr>
        <w:t>that he be made to kiss the American flag. One was produced, and he kissed it, and said it was his flag, and was then told to go home, which he d</w:t>
      </w:r>
      <w:r w:rsidR="00315997" w:rsidRPr="007E4289">
        <w:rPr>
          <w:iCs/>
          <w:szCs w:val="17"/>
          <w:shd w:val="clear" w:color="auto" w:fill="FFFFFF"/>
        </w:rPr>
        <w:t>id.</w:t>
      </w:r>
      <w:r w:rsidRPr="006A612F">
        <w:rPr>
          <w:szCs w:val="17"/>
          <w:shd w:val="clear" w:color="auto" w:fill="FFFFFF"/>
        </w:rPr>
        <w:t>”</w:t>
      </w:r>
      <w:r w:rsidR="00315997" w:rsidRPr="006A612F">
        <w:rPr>
          <w:szCs w:val="17"/>
          <w:shd w:val="clear" w:color="auto" w:fill="FFFFFF"/>
        </w:rPr>
        <w:t xml:space="preserve"> </w:t>
      </w:r>
      <w:r w:rsidR="00315997" w:rsidRPr="0024777B">
        <w:rPr>
          <w:i/>
          <w:szCs w:val="17"/>
        </w:rPr>
        <w:t>Id.</w:t>
      </w:r>
    </w:p>
  </w:footnote>
  <w:footnote w:id="217">
    <w:p w14:paraId="68CF71E8" w14:textId="41991A73"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Keeton</w:t>
      </w:r>
      <w:r w:rsidR="00315997" w:rsidRPr="006A612F">
        <w:rPr>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_Ref88328308 \h  \* MERGEFORMAT </w:instrText>
      </w:r>
      <w:r w:rsidR="00315997" w:rsidRPr="006A612F">
        <w:rPr>
          <w:szCs w:val="17"/>
        </w:rPr>
      </w:r>
      <w:r w:rsidR="00315997" w:rsidRPr="006A612F">
        <w:rPr>
          <w:szCs w:val="17"/>
        </w:rPr>
        <w:fldChar w:fldCharType="separate"/>
      </w:r>
      <w:r w:rsidR="00AA6ED0" w:rsidRPr="006A612F">
        <w:rPr>
          <w:szCs w:val="17"/>
        </w:rPr>
        <w:t>213</w:t>
      </w:r>
      <w:r w:rsidR="00315997" w:rsidRPr="006A612F">
        <w:rPr>
          <w:szCs w:val="17"/>
        </w:rPr>
        <w:fldChar w:fldCharType="end"/>
      </w:r>
      <w:r w:rsidR="00315997" w:rsidRPr="006A612F">
        <w:rPr>
          <w:szCs w:val="17"/>
        </w:rPr>
        <w:t>, § 52.</w:t>
      </w:r>
    </w:p>
  </w:footnote>
  <w:footnote w:id="218">
    <w:p w14:paraId="7951C066" w14:textId="30F151F3"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Smith v. Tiffany, 799 S.E.2d 479, 490 (S.C. 2017) (Pleicones, J., dissenting) (stating that pure joint and several liability allows a plaintiff to decide which defendant to seek payment damages from).</w:t>
      </w:r>
    </w:p>
  </w:footnote>
  <w:footnote w:id="219">
    <w:p w14:paraId="504EF134" w14:textId="30A12F8E"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mallCaps/>
          <w:szCs w:val="17"/>
        </w:rPr>
        <w:t>Restatement (Second) of Torts</w:t>
      </w:r>
      <w:r w:rsidR="00315997" w:rsidRPr="006A612F">
        <w:rPr>
          <w:szCs w:val="17"/>
        </w:rPr>
        <w:t xml:space="preserve"> § 433B(3) (</w:t>
      </w:r>
      <w:r w:rsidR="00315997" w:rsidRPr="006A612F">
        <w:rPr>
          <w:smallCaps/>
          <w:szCs w:val="17"/>
        </w:rPr>
        <w:t>Am. L. Inst</w:t>
      </w:r>
      <w:r w:rsidR="00315997" w:rsidRPr="006A612F">
        <w:rPr>
          <w:szCs w:val="17"/>
        </w:rPr>
        <w:t>. 1965) (</w:t>
      </w:r>
      <w:r w:rsidRPr="006A612F">
        <w:rPr>
          <w:szCs w:val="17"/>
        </w:rPr>
        <w:t>“</w:t>
      </w:r>
      <w:r w:rsidR="00315997" w:rsidRPr="006A612F">
        <w:rPr>
          <w:szCs w:val="17"/>
        </w:rPr>
        <w:t xml:space="preserve">Where the conduct of two or more actors is tortious, and </w:t>
      </w:r>
      <w:r w:rsidRPr="006A612F">
        <w:rPr>
          <w:szCs w:val="17"/>
        </w:rPr>
        <w:t>. . .</w:t>
      </w:r>
      <w:r w:rsidR="00315997" w:rsidRPr="006A612F">
        <w:rPr>
          <w:szCs w:val="17"/>
        </w:rPr>
        <w:t xml:space="preserve"> there is uncertainty as to which one has caused it, the burden is upon each such actor to prove that he has not caused the harm.</w:t>
      </w:r>
      <w:r w:rsidRPr="006A612F">
        <w:rPr>
          <w:szCs w:val="17"/>
        </w:rPr>
        <w:t>”</w:t>
      </w:r>
      <w:r w:rsidR="00315997" w:rsidRPr="006A612F">
        <w:rPr>
          <w:szCs w:val="17"/>
        </w:rPr>
        <w:t>).</w:t>
      </w:r>
    </w:p>
  </w:footnote>
  <w:footnote w:id="220">
    <w:p w14:paraId="3F375E03" w14:textId="7EDDA22E" w:rsidR="00315997" w:rsidRPr="006A612F"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199 P.2d 1 (Cal. 1948).</w:t>
      </w:r>
    </w:p>
  </w:footnote>
  <w:footnote w:id="221">
    <w:p w14:paraId="7F88444F" w14:textId="4339CFC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1–2.</w:t>
      </w:r>
    </w:p>
  </w:footnote>
  <w:footnote w:id="222">
    <w:p w14:paraId="29B18489" w14:textId="311E220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5.</w:t>
      </w:r>
    </w:p>
  </w:footnote>
  <w:footnote w:id="223">
    <w:p w14:paraId="1A363CBC" w14:textId="762D1D10" w:rsidR="00315997" w:rsidRPr="006A612F" w:rsidRDefault="00BF278E" w:rsidP="00AA6ED0">
      <w:pPr>
        <w:pStyle w:val="FootNote"/>
        <w:spacing w:line="240" w:lineRule="auto"/>
        <w:rPr>
          <w:szCs w:val="17"/>
        </w:rPr>
      </w:pPr>
      <w:r w:rsidRPr="006A612F">
        <w:rPr>
          <w:smallCaps/>
          <w:color w:val="000000"/>
          <w:szCs w:val="17"/>
        </w:rPr>
        <w:fldChar w:fldCharType="begin"/>
      </w:r>
      <w:r w:rsidRPr="006A612F">
        <w:rPr>
          <w:smallCaps/>
          <w:color w:val="000000"/>
          <w:szCs w:val="17"/>
        </w:rPr>
        <w:instrText xml:space="preserve"> ADVANCE \r12 \* MERGEFORMAT </w:instrText>
      </w:r>
      <w:r w:rsidRPr="006A612F">
        <w:rPr>
          <w:smallCaps/>
          <w:color w:val="000000"/>
          <w:szCs w:val="17"/>
        </w:rPr>
        <w:fldChar w:fldCharType="end"/>
      </w:r>
      <w:r w:rsidR="00315997" w:rsidRPr="00732F34">
        <w:rPr>
          <w:rStyle w:val="NoterefInNote"/>
        </w:rPr>
        <w:footnoteRef/>
      </w:r>
      <w:r w:rsidRPr="00732F34">
        <w:rPr>
          <w:smallCaps/>
          <w:color w:val="000000"/>
          <w:szCs w:val="17"/>
        </w:rPr>
        <w:t>.</w:t>
      </w:r>
      <w:r w:rsidRPr="006A612F">
        <w:rPr>
          <w:smallCaps/>
          <w:color w:val="000000"/>
          <w:szCs w:val="17"/>
        </w:rPr>
        <w:fldChar w:fldCharType="begin"/>
      </w:r>
      <w:r w:rsidRPr="006A612F">
        <w:rPr>
          <w:smallCaps/>
          <w:color w:val="000000"/>
          <w:szCs w:val="17"/>
        </w:rPr>
        <w:instrText xml:space="preserve"> ADVANCE \r4 \* MERGEFORMAT </w:instrText>
      </w:r>
      <w:r w:rsidRPr="006A612F">
        <w:rPr>
          <w:smallCaps/>
          <w:color w:val="000000"/>
          <w:szCs w:val="17"/>
        </w:rPr>
        <w:fldChar w:fldCharType="end"/>
      </w:r>
      <w:r w:rsidR="00315997" w:rsidRPr="006A612F">
        <w:rPr>
          <w:smallCaps/>
          <w:color w:val="000000"/>
          <w:szCs w:val="17"/>
        </w:rPr>
        <w:t>Restatement (Second) of Torts</w:t>
      </w:r>
      <w:r w:rsidR="00315997" w:rsidRPr="006A612F">
        <w:rPr>
          <w:color w:val="000000"/>
          <w:szCs w:val="17"/>
        </w:rPr>
        <w:t xml:space="preserve"> § 433B (</w:t>
      </w:r>
      <w:r w:rsidR="00315997" w:rsidRPr="006A612F">
        <w:rPr>
          <w:smallCaps/>
          <w:color w:val="000000"/>
          <w:szCs w:val="17"/>
        </w:rPr>
        <w:t>Am. L. Inst</w:t>
      </w:r>
      <w:r w:rsidR="00315997" w:rsidRPr="006A612F">
        <w:rPr>
          <w:color w:val="000000"/>
          <w:szCs w:val="17"/>
        </w:rPr>
        <w:t>. 1965).</w:t>
      </w:r>
    </w:p>
  </w:footnote>
  <w:footnote w:id="224">
    <w:p w14:paraId="2DC4BE48" w14:textId="26B15AD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Summers</w:t>
      </w:r>
      <w:r w:rsidR="00315997" w:rsidRPr="006A612F">
        <w:rPr>
          <w:szCs w:val="17"/>
        </w:rPr>
        <w:t>, 199 P.2d at 5.</w:t>
      </w:r>
    </w:p>
  </w:footnote>
  <w:footnote w:id="225">
    <w:p w14:paraId="7BFF61CA" w14:textId="459AD0E5" w:rsidR="00315997" w:rsidRPr="007E4289" w:rsidRDefault="00BF278E" w:rsidP="00AA6ED0">
      <w:pPr>
        <w:pStyle w:val="FootNote"/>
        <w:spacing w:line="240" w:lineRule="auto"/>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Restatement (Third) of Torts</w:t>
      </w:r>
      <w:r w:rsidR="00315997" w:rsidRPr="006A612F">
        <w:rPr>
          <w:szCs w:val="17"/>
        </w:rPr>
        <w:t xml:space="preserve"> § 28 cmt. g (</w:t>
      </w:r>
      <w:r w:rsidR="00315997" w:rsidRPr="006A612F">
        <w:rPr>
          <w:smallCaps/>
          <w:szCs w:val="17"/>
        </w:rPr>
        <w:t>Am. L. Inst</w:t>
      </w:r>
      <w:r w:rsidR="00315997" w:rsidRPr="006A612F">
        <w:rPr>
          <w:szCs w:val="17"/>
        </w:rPr>
        <w:t>. 2010) (citations omitted).</w:t>
      </w:r>
    </w:p>
  </w:footnote>
  <w:footnote w:id="226">
    <w:p w14:paraId="6FC49CA8" w14:textId="0A5781F1"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Liability in a civil case typically requires that the plaintiff prove an element by a preponderance of the evidence (i.e., that it is more likely than not). However, as Professor Zipursky offers the following explanation for </w:t>
      </w:r>
      <w:r w:rsidR="00315997" w:rsidRPr="006A612F">
        <w:rPr>
          <w:i/>
          <w:szCs w:val="17"/>
        </w:rPr>
        <w:t>Summers</w:t>
      </w:r>
      <w:r w:rsidR="00315997" w:rsidRPr="006A612F">
        <w:rPr>
          <w:szCs w:val="17"/>
        </w:rPr>
        <w:t>:</w:t>
      </w:r>
    </w:p>
    <w:p w14:paraId="64BAC454" w14:textId="78C68DB6" w:rsidR="00315997" w:rsidRPr="006A612F" w:rsidRDefault="00315997" w:rsidP="00AA6ED0">
      <w:pPr>
        <w:pStyle w:val="FootNote"/>
        <w:spacing w:line="240" w:lineRule="auto"/>
        <w:ind w:left="446" w:right="446"/>
        <w:rPr>
          <w:szCs w:val="17"/>
        </w:rPr>
      </w:pPr>
      <w:r w:rsidRPr="006A612F">
        <w:rPr>
          <w:i/>
          <w:iCs/>
          <w:color w:val="000000"/>
          <w:szCs w:val="17"/>
          <w:bdr w:val="none" w:sz="0" w:space="0" w:color="auto" w:frame="1"/>
        </w:rPr>
        <w:t>Summers</w:t>
      </w:r>
      <w:r w:rsidRPr="006A612F">
        <w:rPr>
          <w:color w:val="000000"/>
          <w:szCs w:val="17"/>
          <w:shd w:val="clear" w:color="auto" w:fill="FFFFFF"/>
        </w:rPr>
        <w:t> works because the defendant</w:t>
      </w:r>
      <w:r w:rsidR="00BF278E" w:rsidRPr="006A612F">
        <w:rPr>
          <w:color w:val="000000"/>
          <w:szCs w:val="17"/>
          <w:shd w:val="clear" w:color="auto" w:fill="FFFFFF"/>
        </w:rPr>
        <w:t>’</w:t>
      </w:r>
      <w:r w:rsidRPr="006A612F">
        <w:rPr>
          <w:color w:val="000000"/>
          <w:szCs w:val="17"/>
          <w:shd w:val="clear" w:color="auto" w:fill="FFFFFF"/>
        </w:rPr>
        <w:t>s right is a right to be free of liability where he did not cause the plaintiff</w:t>
      </w:r>
      <w:r w:rsidR="00BF278E" w:rsidRPr="006A612F">
        <w:rPr>
          <w:color w:val="000000"/>
          <w:szCs w:val="17"/>
          <w:shd w:val="clear" w:color="auto" w:fill="FFFFFF"/>
        </w:rPr>
        <w:t>’</w:t>
      </w:r>
      <w:r w:rsidRPr="006A612F">
        <w:rPr>
          <w:color w:val="000000"/>
          <w:szCs w:val="17"/>
          <w:shd w:val="clear" w:color="auto" w:fill="FFFFFF"/>
        </w:rPr>
        <w:t>s injury, and respecting that right is inconsistent with imposing liability where it is more likely than not that the defendant caused no injury to the plaintiff. But that leaves open the question, we argued, of what should happen in equipoise, where the probability is exactly fifty percent. It is therefore permissible for the court to adopt rebuttable joint and several liability in the two-person </w:t>
      </w:r>
      <w:r w:rsidRPr="006A612F">
        <w:rPr>
          <w:i/>
          <w:iCs/>
          <w:color w:val="000000"/>
          <w:szCs w:val="17"/>
          <w:bdr w:val="none" w:sz="0" w:space="0" w:color="auto" w:frame="1"/>
        </w:rPr>
        <w:t>Summers</w:t>
      </w:r>
      <w:r w:rsidRPr="006A612F">
        <w:rPr>
          <w:color w:val="000000"/>
          <w:szCs w:val="17"/>
          <w:shd w:val="clear" w:color="auto" w:fill="FFFFFF"/>
        </w:rPr>
        <w:t> (the real </w:t>
      </w:r>
      <w:r w:rsidRPr="006A612F">
        <w:rPr>
          <w:i/>
          <w:iCs/>
          <w:color w:val="000000"/>
          <w:szCs w:val="17"/>
          <w:bdr w:val="none" w:sz="0" w:space="0" w:color="auto" w:frame="1"/>
        </w:rPr>
        <w:t>Summers</w:t>
      </w:r>
      <w:r w:rsidRPr="006A612F">
        <w:rPr>
          <w:color w:val="000000"/>
          <w:szCs w:val="17"/>
          <w:shd w:val="clear" w:color="auto" w:fill="FFFFFF"/>
        </w:rPr>
        <w:t>), but not in any more extended version.</w:t>
      </w:r>
    </w:p>
    <w:p w14:paraId="6FF1017C" w14:textId="096D515D" w:rsidR="00315997" w:rsidRPr="006A612F" w:rsidRDefault="00315997" w:rsidP="00AA6ED0">
      <w:pPr>
        <w:pStyle w:val="FootNote"/>
        <w:spacing w:line="240" w:lineRule="auto"/>
        <w:rPr>
          <w:szCs w:val="17"/>
        </w:rPr>
      </w:pPr>
      <w:r w:rsidRPr="006A612F">
        <w:rPr>
          <w:color w:val="000000"/>
          <w:szCs w:val="17"/>
        </w:rPr>
        <w:t>Benjamin C. Zipursky, </w:t>
      </w:r>
      <w:r w:rsidRPr="006A612F">
        <w:rPr>
          <w:i/>
          <w:iCs/>
          <w:color w:val="000000"/>
          <w:szCs w:val="17"/>
          <w:bdr w:val="none" w:sz="0" w:space="0" w:color="auto" w:frame="1"/>
        </w:rPr>
        <w:t>Evidence, Unfairness, and Market-Share Liability: A Comment on Geistfeld</w:t>
      </w:r>
      <w:r w:rsidRPr="006A612F">
        <w:rPr>
          <w:color w:val="000000"/>
          <w:szCs w:val="17"/>
        </w:rPr>
        <w:t xml:space="preserve">, 156 </w:t>
      </w:r>
      <w:r w:rsidRPr="006A612F">
        <w:rPr>
          <w:smallCaps/>
          <w:color w:val="000000"/>
          <w:szCs w:val="17"/>
        </w:rPr>
        <w:t>U. Pa. L. Rev. PENNumbra</w:t>
      </w:r>
      <w:r w:rsidRPr="006A612F">
        <w:rPr>
          <w:color w:val="000000"/>
          <w:szCs w:val="17"/>
        </w:rPr>
        <w:t xml:space="preserve"> 126, 134 (2007).</w:t>
      </w:r>
      <w:r w:rsidR="000B1D04" w:rsidRPr="006A612F">
        <w:rPr>
          <w:color w:val="000000"/>
          <w:szCs w:val="17"/>
        </w:rPr>
        <w:t xml:space="preserve"> </w:t>
      </w:r>
      <w:r w:rsidRPr="006A612F">
        <w:rPr>
          <w:szCs w:val="17"/>
        </w:rPr>
        <w:t xml:space="preserve">Similarly, when independent forces combine to injure the plaintiff, but both alone would have been sufficient to cause the injury, the defendant is liable, even if the plaintiff fails to identify who, if anyone, is responsible for the additional forces. For example, in </w:t>
      </w:r>
      <w:r w:rsidRPr="006A612F">
        <w:rPr>
          <w:i/>
          <w:szCs w:val="17"/>
        </w:rPr>
        <w:t>Anderson v. Minneapolis, St. P. &amp; S. S. M. Ry. Co</w:t>
      </w:r>
      <w:r w:rsidRPr="006A612F">
        <w:rPr>
          <w:i/>
          <w:iCs/>
          <w:szCs w:val="17"/>
        </w:rPr>
        <w:t>.</w:t>
      </w:r>
      <w:r w:rsidRPr="006A612F">
        <w:rPr>
          <w:szCs w:val="17"/>
        </w:rPr>
        <w:t xml:space="preserve">, the court held that where two fires combine to destroy property, the defendant is liable, even though </w:t>
      </w:r>
      <w:r w:rsidR="00BF278E" w:rsidRPr="006A612F">
        <w:rPr>
          <w:szCs w:val="17"/>
        </w:rPr>
        <w:t>“</w:t>
      </w:r>
      <w:r w:rsidRPr="006A612F">
        <w:rPr>
          <w:szCs w:val="17"/>
          <w:shd w:val="clear" w:color="auto" w:fill="FFFFFF"/>
        </w:rPr>
        <w:t>either fire independently of the other would have destroyed it</w:t>
      </w:r>
      <w:r w:rsidR="00BF278E" w:rsidRPr="006A612F">
        <w:rPr>
          <w:szCs w:val="17"/>
          <w:shd w:val="clear" w:color="auto" w:fill="FFFFFF"/>
        </w:rPr>
        <w:t>”</w:t>
      </w:r>
      <w:r w:rsidRPr="006A612F">
        <w:rPr>
          <w:szCs w:val="17"/>
          <w:shd w:val="clear" w:color="auto" w:fill="FFFFFF"/>
        </w:rPr>
        <w:t xml:space="preserve"> and the source of the second fire is unknown. </w:t>
      </w:r>
      <w:r w:rsidRPr="006A612F">
        <w:rPr>
          <w:szCs w:val="17"/>
        </w:rPr>
        <w:t xml:space="preserve">179 N.W. 45, 49 (Minn. 1921). </w:t>
      </w:r>
      <w:r w:rsidRPr="006A612F">
        <w:rPr>
          <w:szCs w:val="17"/>
          <w:shd w:val="clear" w:color="auto" w:fill="FFFFFF"/>
        </w:rPr>
        <w:t>Again, under the doctrine of joint and several liability, a negligent defendant may be liable for a plaintiff</w:t>
      </w:r>
      <w:r w:rsidR="00BF278E" w:rsidRPr="006A612F">
        <w:rPr>
          <w:szCs w:val="17"/>
          <w:shd w:val="clear" w:color="auto" w:fill="FFFFFF"/>
        </w:rPr>
        <w:t>’</w:t>
      </w:r>
      <w:r w:rsidRPr="006A612F">
        <w:rPr>
          <w:szCs w:val="17"/>
          <w:shd w:val="clear" w:color="auto" w:fill="FFFFFF"/>
        </w:rPr>
        <w:t xml:space="preserve">s entire injury even if he or she is not the sole cause. </w:t>
      </w:r>
      <w:r w:rsidRPr="0024777B">
        <w:rPr>
          <w:i/>
          <w:szCs w:val="17"/>
        </w:rPr>
        <w:t>Id.</w:t>
      </w:r>
    </w:p>
  </w:footnote>
  <w:footnote w:id="227">
    <w:p w14:paraId="0BD2F15B" w14:textId="206D3BE0"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Sindell v. Abbott Lab</w:t>
      </w:r>
      <w:r w:rsidRPr="006A612F">
        <w:rPr>
          <w:szCs w:val="17"/>
        </w:rPr>
        <w:t>’</w:t>
      </w:r>
      <w:r w:rsidR="00315997" w:rsidRPr="006A612F">
        <w:rPr>
          <w:szCs w:val="17"/>
        </w:rPr>
        <w:t>ys, 607 P.2d 924, 937 (Cal. 1980) (holding that when multiple manufacturers make the same drug with the same ingredients, the plaintiff is injured as a result of the drug, and there is no way for the plaintiff to determine which manufacturer produced the specific pill she took, then the manufacturers will be held proportionately liable in accordance with their share of the market).</w:t>
      </w:r>
    </w:p>
  </w:footnote>
  <w:footnote w:id="228">
    <w:p w14:paraId="3681D48D" w14:textId="2BF3A08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936.</w:t>
      </w:r>
    </w:p>
  </w:footnote>
  <w:footnote w:id="229">
    <w:p w14:paraId="651FB412" w14:textId="73F27519"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Joint and Several Liability, </w:t>
      </w:r>
      <w:r w:rsidR="00315997" w:rsidRPr="006A612F">
        <w:rPr>
          <w:smallCaps/>
          <w:szCs w:val="17"/>
        </w:rPr>
        <w:t>The Wolters Kluwer Bouvier Law Dictionary (2012).</w:t>
      </w:r>
    </w:p>
  </w:footnote>
  <w:footnote w:id="230">
    <w:p w14:paraId="2DC3EA4F" w14:textId="73A1037F"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p>
  </w:footnote>
  <w:footnote w:id="231">
    <w:p w14:paraId="50009E4F" w14:textId="6369624C"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McDermott, Inc. v. Amclyde, 511 U.S. 202, 221 (1994).</w:t>
      </w:r>
    </w:p>
  </w:footnote>
  <w:footnote w:id="232">
    <w:p w14:paraId="42C60CB9" w14:textId="17514A54"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w:t>
      </w:r>
      <w:r w:rsidR="00315997" w:rsidRPr="006A612F">
        <w:rPr>
          <w:color w:val="000000"/>
          <w:szCs w:val="17"/>
          <w:bdr w:val="none" w:sz="0" w:space="0" w:color="auto" w:frame="1"/>
        </w:rPr>
        <w:t>Samson v. City of Bainbridge Island</w:t>
      </w:r>
      <w:r w:rsidR="00315997" w:rsidRPr="006A612F">
        <w:rPr>
          <w:color w:val="000000"/>
          <w:szCs w:val="17"/>
        </w:rPr>
        <w:t>, 683 F.3d 1051, 1060 (9th Cir. 2012) (</w:t>
      </w:r>
      <w:r w:rsidRPr="006A612F">
        <w:rPr>
          <w:color w:val="000000"/>
          <w:szCs w:val="17"/>
        </w:rPr>
        <w:t>“</w:t>
      </w:r>
      <w:r w:rsidR="00315997" w:rsidRPr="006A612F">
        <w:rPr>
          <w:color w:val="000000"/>
          <w:szCs w:val="17"/>
          <w:shd w:val="clear" w:color="auto" w:fill="FFFFFF"/>
        </w:rPr>
        <w:t>Unless there is a </w:t>
      </w:r>
      <w:r w:rsidR="00315997" w:rsidRPr="006A612F">
        <w:rPr>
          <w:color w:val="000000"/>
          <w:szCs w:val="17"/>
          <w:bdr w:val="none" w:sz="0" w:space="0" w:color="auto" w:frame="1"/>
          <w:shd w:val="clear" w:color="auto" w:fill="FFFFFF"/>
        </w:rPr>
        <w:t>breach</w:t>
      </w:r>
      <w:r w:rsidR="00315997" w:rsidRPr="006A612F">
        <w:rPr>
          <w:color w:val="000000"/>
          <w:szCs w:val="17"/>
          <w:shd w:val="clear" w:color="auto" w:fill="FFFFFF"/>
        </w:rPr>
        <w:t> of </w:t>
      </w:r>
      <w:r w:rsidR="00315997" w:rsidRPr="006A612F">
        <w:rPr>
          <w:color w:val="000000"/>
          <w:szCs w:val="17"/>
          <w:bdr w:val="none" w:sz="0" w:space="0" w:color="auto" w:frame="1"/>
          <w:shd w:val="clear" w:color="auto" w:fill="FFFFFF"/>
        </w:rPr>
        <w:t>constitutional</w:t>
      </w:r>
      <w:r w:rsidR="00315997" w:rsidRPr="006A612F">
        <w:rPr>
          <w:color w:val="000000"/>
          <w:szCs w:val="17"/>
          <w:shd w:val="clear" w:color="auto" w:fill="FFFFFF"/>
        </w:rPr>
        <w:t> </w:t>
      </w:r>
      <w:r w:rsidR="00315997" w:rsidRPr="006A612F">
        <w:rPr>
          <w:color w:val="000000"/>
          <w:szCs w:val="17"/>
          <w:bdr w:val="none" w:sz="0" w:space="0" w:color="auto" w:frame="1"/>
          <w:shd w:val="clear" w:color="auto" w:fill="FFFFFF"/>
        </w:rPr>
        <w:t xml:space="preserve">rights, </w:t>
      </w:r>
      <w:r w:rsidRPr="006A612F">
        <w:rPr>
          <w:color w:val="000000"/>
          <w:szCs w:val="17"/>
          <w:shd w:val="clear" w:color="auto" w:fill="FFFFFF"/>
        </w:rPr>
        <w:t>. . .</w:t>
      </w:r>
      <w:r w:rsidR="00315997" w:rsidRPr="006A612F">
        <w:rPr>
          <w:color w:val="000000"/>
          <w:szCs w:val="17"/>
          <w:shd w:val="clear" w:color="auto" w:fill="FFFFFF"/>
        </w:rPr>
        <w:t> § </w:t>
      </w:r>
      <w:r w:rsidR="00315997" w:rsidRPr="006A612F">
        <w:rPr>
          <w:color w:val="000000"/>
          <w:szCs w:val="17"/>
          <w:bdr w:val="none" w:sz="0" w:space="0" w:color="auto" w:frame="1"/>
          <w:shd w:val="clear" w:color="auto" w:fill="FFFFFF"/>
        </w:rPr>
        <w:t>1983</w:t>
      </w:r>
      <w:r w:rsidR="00315997" w:rsidRPr="006A612F">
        <w:rPr>
          <w:color w:val="000000"/>
          <w:szCs w:val="17"/>
          <w:shd w:val="clear" w:color="auto" w:fill="FFFFFF"/>
        </w:rPr>
        <w:t> does not provide redress in federal court for violations of state law.</w:t>
      </w:r>
      <w:r w:rsidRPr="006A612F">
        <w:rPr>
          <w:color w:val="000000"/>
          <w:szCs w:val="17"/>
          <w:shd w:val="clear" w:color="auto" w:fill="FFFFFF"/>
        </w:rPr>
        <w:t>”</w:t>
      </w:r>
      <w:r w:rsidR="00315997" w:rsidRPr="006A612F">
        <w:rPr>
          <w:color w:val="000000"/>
          <w:szCs w:val="17"/>
          <w:shd w:val="clear" w:color="auto" w:fill="FFFFFF"/>
        </w:rPr>
        <w:t xml:space="preserve"> (quoting Schlette v. Burdick</w:t>
      </w:r>
      <w:r w:rsidR="00315997" w:rsidRPr="006A612F">
        <w:rPr>
          <w:iCs/>
          <w:color w:val="000000"/>
          <w:szCs w:val="17"/>
          <w:shd w:val="clear" w:color="auto" w:fill="FFFFFF"/>
        </w:rPr>
        <w:t>,</w:t>
      </w:r>
      <w:r w:rsidR="00315997" w:rsidRPr="006A612F">
        <w:rPr>
          <w:color w:val="000000"/>
          <w:szCs w:val="17"/>
          <w:shd w:val="clear" w:color="auto" w:fill="FFFFFF"/>
        </w:rPr>
        <w:t> 633 F.2d 920, 922 n.3 (9th Cir.</w:t>
      </w:r>
      <w:r w:rsidR="00FE7FAB">
        <w:rPr>
          <w:color w:val="000000"/>
          <w:szCs w:val="17"/>
          <w:shd w:val="clear" w:color="auto" w:fill="FFFFFF"/>
        </w:rPr>
        <w:t xml:space="preserve"> </w:t>
      </w:r>
      <w:r w:rsidR="00315997" w:rsidRPr="006A612F">
        <w:rPr>
          <w:color w:val="000000"/>
          <w:szCs w:val="17"/>
          <w:shd w:val="clear" w:color="auto" w:fill="FFFFFF"/>
        </w:rPr>
        <w:t>1980))).</w:t>
      </w:r>
    </w:p>
  </w:footnote>
  <w:footnote w:id="233">
    <w:p w14:paraId="42E2EEBF" w14:textId="6283B36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 xml:space="preserve">Byrd v. Brishke, 466 F.2d 6, 11 (7th Cir. 1972) (holding that when an individual is given the authority of being a police officer, he may not ignore the duties of his office by failing to stop other officers who harm someone in his presence); </w:t>
      </w:r>
      <w:r w:rsidR="00315997" w:rsidRPr="006A612F">
        <w:rPr>
          <w:i/>
          <w:iCs/>
          <w:szCs w:val="17"/>
        </w:rPr>
        <w:t>s</w:t>
      </w:r>
      <w:r w:rsidR="00315997" w:rsidRPr="006A612F">
        <w:rPr>
          <w:i/>
          <w:szCs w:val="17"/>
        </w:rPr>
        <w:t>ee also</w:t>
      </w:r>
      <w:r w:rsidR="00315997" w:rsidRPr="006A612F">
        <w:rPr>
          <w:i/>
          <w:iCs/>
          <w:szCs w:val="17"/>
        </w:rPr>
        <w:t>,</w:t>
      </w:r>
      <w:r w:rsidR="00315997" w:rsidRPr="006A612F">
        <w:rPr>
          <w:i/>
          <w:szCs w:val="17"/>
        </w:rPr>
        <w:t xml:space="preserve"> </w:t>
      </w:r>
      <w:r w:rsidR="00315997" w:rsidRPr="0024777B">
        <w:rPr>
          <w:i/>
          <w:szCs w:val="17"/>
        </w:rPr>
        <w:t>e.g.</w:t>
      </w:r>
      <w:r w:rsidR="00315997" w:rsidRPr="006A612F">
        <w:rPr>
          <w:szCs w:val="17"/>
        </w:rPr>
        <w:t>, Whirl v. Kern, 407 F.2d 781, 788–89 (5th Cir. 1968) (holding that improper motive is not a prerequisite for tort liability under §</w:t>
      </w:r>
      <w:r w:rsidR="000B1D04" w:rsidRPr="006A612F">
        <w:rPr>
          <w:szCs w:val="17"/>
        </w:rPr>
        <w:t> </w:t>
      </w:r>
      <w:r w:rsidR="00315997" w:rsidRPr="006A612F">
        <w:rPr>
          <w:szCs w:val="17"/>
        </w:rPr>
        <w:t>1983).</w:t>
      </w:r>
    </w:p>
  </w:footnote>
  <w:footnote w:id="234">
    <w:p w14:paraId="16EDF18D" w14:textId="756075B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City of Canton v. Harris, 489 U.S. 378, 388 (1989) (holding that a municipality can only be held liable under § 1983 for failing to train their employees, if that failure to train reflects a deliberate indifference on the part of the municipality toward the constitutional rights of its citizens).</w:t>
      </w:r>
    </w:p>
  </w:footnote>
  <w:footnote w:id="235">
    <w:p w14:paraId="415871BC" w14:textId="6080B745"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w:t>
      </w:r>
      <w:r w:rsidR="00315997" w:rsidRPr="006A612F">
        <w:rPr>
          <w:color w:val="000000"/>
          <w:szCs w:val="17"/>
          <w:bdr w:val="none" w:sz="0" w:space="0" w:color="auto" w:frame="1"/>
        </w:rPr>
        <w:t xml:space="preserve">Ellis </w:t>
      </w:r>
      <w:r w:rsidR="00315997" w:rsidRPr="006A612F">
        <w:rPr>
          <w:i/>
          <w:iCs/>
          <w:color w:val="000000"/>
          <w:szCs w:val="17"/>
          <w:bdr w:val="none" w:sz="0" w:space="0" w:color="auto" w:frame="1"/>
        </w:rPr>
        <w:t>ex rel.</w:t>
      </w:r>
      <w:r w:rsidR="00315997" w:rsidRPr="006A612F">
        <w:rPr>
          <w:color w:val="000000"/>
          <w:szCs w:val="17"/>
          <w:bdr w:val="none" w:sz="0" w:space="0" w:color="auto" w:frame="1"/>
        </w:rPr>
        <w:t xml:space="preserve"> Estate of Ellis v. Ogden City</w:t>
      </w:r>
      <w:r w:rsidR="00315997" w:rsidRPr="006A612F">
        <w:rPr>
          <w:color w:val="000000"/>
          <w:szCs w:val="17"/>
        </w:rPr>
        <w:t xml:space="preserve">, 589 F.3d 1099, 1104 (10th Cir. 2009) (concluding that there is no municipal liability </w:t>
      </w:r>
      <w:r w:rsidRPr="006A612F">
        <w:rPr>
          <w:color w:val="000000"/>
          <w:szCs w:val="17"/>
        </w:rPr>
        <w:t>“</w:t>
      </w:r>
      <w:r w:rsidR="00315997" w:rsidRPr="006A612F">
        <w:rPr>
          <w:color w:val="000000"/>
          <w:szCs w:val="17"/>
          <w:shd w:val="clear" w:color="auto" w:fill="FFFFFF"/>
        </w:rPr>
        <w:t>where there was no </w:t>
      </w:r>
      <w:r w:rsidR="00315997" w:rsidRPr="006A612F">
        <w:rPr>
          <w:color w:val="000000"/>
          <w:szCs w:val="17"/>
          <w:bdr w:val="none" w:sz="0" w:space="0" w:color="auto" w:frame="1"/>
          <w:shd w:val="clear" w:color="auto" w:fill="FFFFFF"/>
        </w:rPr>
        <w:t>underlying</w:t>
      </w:r>
      <w:r w:rsidR="000B1D04" w:rsidRPr="006A612F">
        <w:rPr>
          <w:color w:val="000000"/>
          <w:szCs w:val="17"/>
          <w:shd w:val="clear" w:color="auto" w:fill="FFFFFF"/>
        </w:rPr>
        <w:t xml:space="preserve"> </w:t>
      </w:r>
      <w:r w:rsidR="00315997" w:rsidRPr="006A612F">
        <w:rPr>
          <w:color w:val="000000"/>
          <w:szCs w:val="17"/>
          <w:bdr w:val="none" w:sz="0" w:space="0" w:color="auto" w:frame="1"/>
          <w:shd w:val="clear" w:color="auto" w:fill="FFFFFF"/>
        </w:rPr>
        <w:t>constitutional</w:t>
      </w:r>
      <w:r w:rsidR="000B1D04" w:rsidRPr="006A612F">
        <w:rPr>
          <w:color w:val="000000"/>
          <w:szCs w:val="17"/>
          <w:shd w:val="clear" w:color="auto" w:fill="FFFFFF"/>
        </w:rPr>
        <w:t xml:space="preserve"> </w:t>
      </w:r>
      <w:r w:rsidR="00315997" w:rsidRPr="006A612F">
        <w:rPr>
          <w:color w:val="000000"/>
          <w:szCs w:val="17"/>
          <w:bdr w:val="none" w:sz="0" w:space="0" w:color="auto" w:frame="1"/>
          <w:shd w:val="clear" w:color="auto" w:fill="FFFFFF"/>
        </w:rPr>
        <w:t>violation</w:t>
      </w:r>
      <w:r w:rsidR="000B1D04" w:rsidRPr="006A612F">
        <w:rPr>
          <w:color w:val="000000"/>
          <w:szCs w:val="17"/>
          <w:shd w:val="clear" w:color="auto" w:fill="FFFFFF"/>
        </w:rPr>
        <w:t xml:space="preserve"> </w:t>
      </w:r>
      <w:r w:rsidR="00315997" w:rsidRPr="006A612F">
        <w:rPr>
          <w:color w:val="000000"/>
          <w:szCs w:val="17"/>
          <w:shd w:val="clear" w:color="auto" w:fill="FFFFFF"/>
        </w:rPr>
        <w:t>by any of [the </w:t>
      </w:r>
      <w:r w:rsidR="00315997" w:rsidRPr="006A612F">
        <w:rPr>
          <w:color w:val="000000"/>
          <w:szCs w:val="17"/>
          <w:bdr w:val="none" w:sz="0" w:space="0" w:color="auto" w:frame="1"/>
          <w:shd w:val="clear" w:color="auto" w:fill="FFFFFF"/>
        </w:rPr>
        <w:t>municipality</w:t>
      </w:r>
      <w:r w:rsidRPr="006A612F">
        <w:rPr>
          <w:color w:val="000000"/>
          <w:szCs w:val="17"/>
          <w:bdr w:val="none" w:sz="0" w:space="0" w:color="auto" w:frame="1"/>
          <w:shd w:val="clear" w:color="auto" w:fill="FFFFFF"/>
        </w:rPr>
        <w:t>’</w:t>
      </w:r>
      <w:r w:rsidR="00315997" w:rsidRPr="006A612F">
        <w:rPr>
          <w:color w:val="000000"/>
          <w:szCs w:val="17"/>
          <w:bdr w:val="none" w:sz="0" w:space="0" w:color="auto" w:frame="1"/>
          <w:shd w:val="clear" w:color="auto" w:fill="FFFFFF"/>
        </w:rPr>
        <w:t>s</w:t>
      </w:r>
      <w:r w:rsidR="00315997" w:rsidRPr="006A612F">
        <w:rPr>
          <w:color w:val="000000"/>
          <w:szCs w:val="17"/>
          <w:shd w:val="clear" w:color="auto" w:fill="FFFFFF"/>
        </w:rPr>
        <w:t>] officers</w:t>
      </w:r>
      <w:r w:rsidRPr="006A612F">
        <w:rPr>
          <w:color w:val="000000"/>
          <w:szCs w:val="17"/>
          <w:shd w:val="clear" w:color="auto" w:fill="FFFFFF"/>
        </w:rPr>
        <w:t>”</w:t>
      </w:r>
      <w:r w:rsidR="00315997" w:rsidRPr="006A612F">
        <w:rPr>
          <w:color w:val="000000"/>
          <w:szCs w:val="17"/>
          <w:shd w:val="clear" w:color="auto" w:fill="FFFFFF"/>
        </w:rPr>
        <w:t xml:space="preserve"> (alteration in original) (quoting Graves v. Thomas, 450 F.3d 1215, 1218 (10th Cir. 2006))).</w:t>
      </w:r>
    </w:p>
  </w:footnote>
  <w:footnote w:id="236">
    <w:p w14:paraId="79100605" w14:textId="362E0D59" w:rsidR="00315997" w:rsidRPr="007E4289" w:rsidRDefault="00BF278E" w:rsidP="00AA6ED0">
      <w:pPr>
        <w:pStyle w:val="FootNote"/>
        <w:spacing w:line="240" w:lineRule="auto"/>
        <w:rPr>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One might theorize that an official personally violates the Fourth Amendment by failing to intervene. This isn</w:t>
      </w:r>
      <w:r w:rsidRPr="006A612F">
        <w:rPr>
          <w:szCs w:val="17"/>
        </w:rPr>
        <w:t>’</w:t>
      </w:r>
      <w:r w:rsidR="00315997" w:rsidRPr="006A612F">
        <w:rPr>
          <w:szCs w:val="17"/>
        </w:rPr>
        <w:t>t illogical. After all, it seems reasonable to argue that, in and of itself, the failure to intervene makes a seizure unreasonable, and, accordingly, a bystanding official personally violates the Constitution by doing nothing. This, however, is not the approach courts have adopted.</w:t>
      </w:r>
    </w:p>
  </w:footnote>
  <w:footnote w:id="237">
    <w:p w14:paraId="434429CE" w14:textId="4FB8A942" w:rsidR="00315997" w:rsidRPr="006A612F" w:rsidRDefault="00BF278E" w:rsidP="00AA6ED0">
      <w:pPr>
        <w:pStyle w:val="FootNote"/>
        <w:spacing w:line="240" w:lineRule="auto"/>
        <w:rPr>
          <w:rFonts w:eastAsia="Helvetica"/>
          <w:color w:val="373739"/>
          <w:szCs w:val="17"/>
        </w:rPr>
      </w:pPr>
      <w:r w:rsidRPr="006A612F">
        <w:rPr>
          <w:rFonts w:eastAsia="Helvetica"/>
          <w:color w:val="000000" w:themeColor="text1"/>
          <w:szCs w:val="17"/>
        </w:rPr>
        <w:fldChar w:fldCharType="begin"/>
      </w:r>
      <w:r w:rsidRPr="006A612F">
        <w:rPr>
          <w:rFonts w:eastAsia="Helvetica"/>
          <w:color w:val="000000" w:themeColor="text1"/>
          <w:szCs w:val="17"/>
        </w:rPr>
        <w:instrText xml:space="preserve"> ADVANCE \r12 \* MERGEFORMAT </w:instrText>
      </w:r>
      <w:r w:rsidRPr="006A612F">
        <w:rPr>
          <w:rFonts w:eastAsia="Helvetica"/>
          <w:color w:val="000000" w:themeColor="text1"/>
          <w:szCs w:val="17"/>
        </w:rPr>
        <w:fldChar w:fldCharType="end"/>
      </w:r>
      <w:r w:rsidR="00315997" w:rsidRPr="00732F34">
        <w:rPr>
          <w:rStyle w:val="NoterefInNote"/>
        </w:rPr>
        <w:footnoteRef/>
      </w:r>
      <w:r w:rsidRPr="00732F34">
        <w:rPr>
          <w:rFonts w:eastAsia="Helvetica"/>
          <w:color w:val="000000" w:themeColor="text1"/>
          <w:szCs w:val="17"/>
        </w:rPr>
        <w:t>.</w:t>
      </w:r>
      <w:r w:rsidRPr="006A612F">
        <w:rPr>
          <w:rFonts w:eastAsia="Helvetica"/>
          <w:color w:val="000000" w:themeColor="text1"/>
          <w:szCs w:val="17"/>
        </w:rPr>
        <w:fldChar w:fldCharType="begin"/>
      </w:r>
      <w:r w:rsidRPr="006A612F">
        <w:rPr>
          <w:rFonts w:eastAsia="Helvetica"/>
          <w:color w:val="000000" w:themeColor="text1"/>
          <w:szCs w:val="17"/>
        </w:rPr>
        <w:instrText xml:space="preserve"> ADVANCE \r4 \* MERGEFORMAT </w:instrText>
      </w:r>
      <w:r w:rsidRPr="006A612F">
        <w:rPr>
          <w:rFonts w:eastAsia="Helvetica"/>
          <w:color w:val="000000" w:themeColor="text1"/>
          <w:szCs w:val="17"/>
        </w:rPr>
        <w:fldChar w:fldCharType="end"/>
      </w:r>
      <w:r w:rsidR="00315997" w:rsidRPr="006A612F">
        <w:rPr>
          <w:rFonts w:eastAsia="Helvetica"/>
          <w:color w:val="000000" w:themeColor="text1"/>
          <w:szCs w:val="17"/>
        </w:rPr>
        <w:t>767 F.2d 161 (5th Cir. 1985</w:t>
      </w:r>
      <w:r w:rsidR="00315997" w:rsidRPr="006A612F">
        <w:rPr>
          <w:color w:val="000000" w:themeColor="text1"/>
          <w:szCs w:val="17"/>
        </w:rPr>
        <w:t>).</w:t>
      </w:r>
    </w:p>
  </w:footnote>
  <w:footnote w:id="238">
    <w:p w14:paraId="3332AFBA" w14:textId="51CF7FD7" w:rsidR="00315997" w:rsidRPr="006A612F" w:rsidRDefault="00BF278E" w:rsidP="00AA6ED0">
      <w:pPr>
        <w:pStyle w:val="FootNote"/>
        <w:spacing w:line="240" w:lineRule="auto"/>
      </w:pPr>
      <w:r w:rsidRPr="006A612F">
        <w:rPr>
          <w:rStyle w:val="FootNoteChar"/>
          <w:i/>
          <w:iCs/>
        </w:rPr>
        <w:fldChar w:fldCharType="begin"/>
      </w:r>
      <w:r w:rsidRPr="006A612F">
        <w:rPr>
          <w:rStyle w:val="FootNoteChar"/>
          <w:i/>
          <w:iCs/>
        </w:rPr>
        <w:instrText xml:space="preserve"> ADVANCE \r12 \* MERGEFORMAT </w:instrText>
      </w:r>
      <w:r w:rsidRPr="006A612F">
        <w:rPr>
          <w:rStyle w:val="FootNoteChar"/>
          <w:i/>
          <w:iCs/>
        </w:rPr>
        <w:fldChar w:fldCharType="end"/>
      </w:r>
      <w:r w:rsidR="00315997" w:rsidRPr="00732F34">
        <w:rPr>
          <w:rStyle w:val="NoterefInNote"/>
        </w:rPr>
        <w:footnoteRef/>
      </w:r>
      <w:r w:rsidRPr="00732F34">
        <w:rPr>
          <w:rStyle w:val="FootNoteChar"/>
        </w:rPr>
        <w:t>.</w:t>
      </w:r>
      <w:r w:rsidRPr="006A612F">
        <w:rPr>
          <w:rStyle w:val="FootNoteChar"/>
          <w:i/>
          <w:iCs/>
        </w:rPr>
        <w:fldChar w:fldCharType="begin"/>
      </w:r>
      <w:r w:rsidRPr="006A612F">
        <w:rPr>
          <w:rStyle w:val="FootNoteChar"/>
          <w:i/>
          <w:iCs/>
        </w:rPr>
        <w:instrText xml:space="preserve"> ADVANCE \r4 \* MERGEFORMAT </w:instrText>
      </w:r>
      <w:r w:rsidRPr="006A612F">
        <w:rPr>
          <w:rStyle w:val="FootNoteChar"/>
          <w:i/>
          <w:iCs/>
        </w:rPr>
        <w:fldChar w:fldCharType="end"/>
      </w:r>
      <w:r w:rsidR="00315997" w:rsidRPr="0024777B">
        <w:rPr>
          <w:rStyle w:val="FootNoteChar"/>
          <w:i/>
        </w:rPr>
        <w:t>Id.</w:t>
      </w:r>
      <w:r w:rsidR="00315997" w:rsidRPr="006A612F">
        <w:rPr>
          <w:rStyle w:val="FootNoteChar"/>
        </w:rPr>
        <w:t xml:space="preserve"> at 165.</w:t>
      </w:r>
    </w:p>
  </w:footnote>
  <w:footnote w:id="239">
    <w:p w14:paraId="558F0790" w14:textId="13BA2BAF" w:rsidR="00315997" w:rsidRPr="006A612F" w:rsidRDefault="00BF278E" w:rsidP="00AA6ED0">
      <w:pPr>
        <w:pStyle w:val="FootNote"/>
        <w:spacing w:line="240" w:lineRule="auto"/>
        <w:rPr>
          <w:szCs w:val="17"/>
        </w:rPr>
      </w:pPr>
      <w:r w:rsidRPr="006A612F">
        <w:rPr>
          <w:szCs w:val="17"/>
          <w:shd w:val="clear" w:color="auto" w:fill="FFFFFF"/>
        </w:rPr>
        <w:fldChar w:fldCharType="begin"/>
      </w:r>
      <w:r w:rsidRPr="006A612F">
        <w:rPr>
          <w:szCs w:val="17"/>
          <w:shd w:val="clear" w:color="auto" w:fill="FFFFFF"/>
        </w:rPr>
        <w:instrText xml:space="preserve"> ADVANCE \r12 \* MERGEFORMAT </w:instrText>
      </w:r>
      <w:r w:rsidRPr="006A612F">
        <w:rPr>
          <w:szCs w:val="17"/>
          <w:shd w:val="clear" w:color="auto" w:fill="FFFFFF"/>
        </w:rPr>
        <w:fldChar w:fldCharType="end"/>
      </w:r>
      <w:r w:rsidR="00315997" w:rsidRPr="00732F34">
        <w:rPr>
          <w:rStyle w:val="NoterefInNote"/>
        </w:rPr>
        <w:footnoteRef/>
      </w:r>
      <w:r w:rsidRPr="00732F34">
        <w:rPr>
          <w:szCs w:val="17"/>
          <w:shd w:val="clear" w:color="auto" w:fill="FFFFFF"/>
        </w:rPr>
        <w:t>.</w:t>
      </w:r>
      <w:r w:rsidRPr="006A612F">
        <w:rPr>
          <w:szCs w:val="17"/>
          <w:shd w:val="clear" w:color="auto" w:fill="FFFFFF"/>
        </w:rPr>
        <w:fldChar w:fldCharType="begin"/>
      </w:r>
      <w:r w:rsidRPr="006A612F">
        <w:rPr>
          <w:szCs w:val="17"/>
          <w:shd w:val="clear" w:color="auto" w:fill="FFFFFF"/>
        </w:rPr>
        <w:instrText xml:space="preserve"> ADVANCE \r4 \* MERGEFORMAT </w:instrText>
      </w:r>
      <w:r w:rsidRPr="006A612F">
        <w:rPr>
          <w:szCs w:val="17"/>
          <w:shd w:val="clear" w:color="auto" w:fill="FFFFFF"/>
        </w:rPr>
        <w:fldChar w:fldCharType="end"/>
      </w:r>
      <w:r w:rsidR="00315997" w:rsidRPr="006A612F">
        <w:rPr>
          <w:szCs w:val="17"/>
          <w:shd w:val="clear" w:color="auto" w:fill="FFFFFF"/>
        </w:rPr>
        <w:t>And in terms of § 1983</w:t>
      </w:r>
      <w:r w:rsidRPr="006A612F">
        <w:rPr>
          <w:szCs w:val="17"/>
          <w:shd w:val="clear" w:color="auto" w:fill="FFFFFF"/>
        </w:rPr>
        <w:t>’</w:t>
      </w:r>
      <w:r w:rsidR="00315997" w:rsidRPr="006A612F">
        <w:rPr>
          <w:szCs w:val="17"/>
          <w:shd w:val="clear" w:color="auto" w:fill="FFFFFF"/>
        </w:rPr>
        <w:t>s elements, this means that the former deprived the plaintiff of a constitutional right while the latter cause</w:t>
      </w:r>
      <w:r w:rsidR="00315997" w:rsidRPr="006A612F">
        <w:rPr>
          <w:szCs w:val="17"/>
        </w:rPr>
        <w:t>d</w:t>
      </w:r>
      <w:r w:rsidR="00315997" w:rsidRPr="006A612F">
        <w:rPr>
          <w:szCs w:val="17"/>
          <w:shd w:val="clear" w:color="auto" w:fill="FFFFFF"/>
        </w:rPr>
        <w:t xml:space="preserve"> the plaintiff to be deprived of a constitutional right.</w:t>
      </w:r>
    </w:p>
  </w:footnote>
  <w:footnote w:id="240">
    <w:p w14:paraId="125D1376" w14:textId="5924E643" w:rsidR="00315997" w:rsidRPr="007E4289" w:rsidRDefault="00BF278E" w:rsidP="00AA6ED0">
      <w:pPr>
        <w:pStyle w:val="FootNote"/>
        <w:spacing w:line="240" w:lineRule="auto"/>
        <w:rPr>
          <w:bCs/>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This might also be understood in terms of causation. When § 1983 plaintiffs seek compensatory damages they must prove: (1) </w:t>
      </w:r>
      <w:r w:rsidRPr="006A612F">
        <w:rPr>
          <w:szCs w:val="17"/>
        </w:rPr>
        <w:t>“</w:t>
      </w:r>
      <w:r w:rsidR="00315997" w:rsidRPr="006A612F">
        <w:rPr>
          <w:szCs w:val="17"/>
        </w:rPr>
        <w:t>statutory causation</w:t>
      </w:r>
      <w:r w:rsidRPr="006A612F">
        <w:rPr>
          <w:szCs w:val="17"/>
        </w:rPr>
        <w:t>”</w:t>
      </w:r>
      <w:r w:rsidR="00315997" w:rsidRPr="006A612F">
        <w:rPr>
          <w:szCs w:val="17"/>
        </w:rPr>
        <w:t xml:space="preserve">—that the defendants subjected or caused the plaintiffs to be subjected to a constitutional deprivation—and (2) </w:t>
      </w:r>
      <w:r w:rsidRPr="006A612F">
        <w:rPr>
          <w:szCs w:val="17"/>
        </w:rPr>
        <w:t>“</w:t>
      </w:r>
      <w:r w:rsidR="00315997" w:rsidRPr="006A612F">
        <w:rPr>
          <w:szCs w:val="17"/>
        </w:rPr>
        <w:t>damages causation</w:t>
      </w:r>
      <w:r w:rsidRPr="006A612F">
        <w:rPr>
          <w:szCs w:val="17"/>
        </w:rPr>
        <w:t>”</w:t>
      </w:r>
      <w:r w:rsidR="00315997" w:rsidRPr="006A612F">
        <w:rPr>
          <w:szCs w:val="17"/>
        </w:rPr>
        <w:t xml:space="preserve">—that the constitutional deprivation caused the plaintiffs to suffer an actual injury. </w:t>
      </w:r>
      <w:r w:rsidR="00315997" w:rsidRPr="006A612F">
        <w:rPr>
          <w:i/>
          <w:iCs/>
          <w:szCs w:val="17"/>
        </w:rPr>
        <w:t xml:space="preserve">See </w:t>
      </w:r>
      <w:r w:rsidR="00315997" w:rsidRPr="006A612F">
        <w:rPr>
          <w:szCs w:val="17"/>
        </w:rPr>
        <w:t xml:space="preserve">Ravenell,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_Ref88408680 \h  \* MERGEFORMAT </w:instrText>
      </w:r>
      <w:r w:rsidR="00315997" w:rsidRPr="006A612F">
        <w:rPr>
          <w:szCs w:val="17"/>
        </w:rPr>
      </w:r>
      <w:r w:rsidR="00315997" w:rsidRPr="006A612F">
        <w:rPr>
          <w:szCs w:val="17"/>
        </w:rPr>
        <w:fldChar w:fldCharType="separate"/>
      </w:r>
      <w:r w:rsidR="00AA6ED0" w:rsidRPr="006A612F">
        <w:rPr>
          <w:szCs w:val="17"/>
        </w:rPr>
        <w:t>114</w:t>
      </w:r>
      <w:r w:rsidR="00315997" w:rsidRPr="006A612F">
        <w:rPr>
          <w:szCs w:val="17"/>
        </w:rPr>
        <w:fldChar w:fldCharType="end"/>
      </w:r>
      <w:r w:rsidR="00315997" w:rsidRPr="006A612F">
        <w:rPr>
          <w:szCs w:val="17"/>
        </w:rPr>
        <w:t xml:space="preserve">, at 710, 713 (discussing statutory causation and damages causation in § 1983 cases). Joint liability offers plaintiffs a great solution when they are able to prove statutory causation but unable to prove damages causation. </w:t>
      </w:r>
      <w:r w:rsidR="00315997" w:rsidRPr="006A612F">
        <w:rPr>
          <w:i/>
          <w:iCs/>
          <w:szCs w:val="17"/>
        </w:rPr>
        <w:t xml:space="preserve">See, </w:t>
      </w:r>
      <w:r w:rsidR="00315997" w:rsidRPr="0024777B">
        <w:rPr>
          <w:i/>
          <w:szCs w:val="17"/>
        </w:rPr>
        <w:t>e.g.</w:t>
      </w:r>
      <w:r w:rsidR="00315997" w:rsidRPr="006A612F">
        <w:rPr>
          <w:szCs w:val="17"/>
        </w:rPr>
        <w:t xml:space="preserve">, </w:t>
      </w:r>
      <w:r w:rsidR="00315997" w:rsidRPr="006A612F">
        <w:rPr>
          <w:i/>
          <w:iCs/>
          <w:szCs w:val="17"/>
        </w:rPr>
        <w:t>Grandstaff</w:t>
      </w:r>
      <w:r w:rsidR="00315997" w:rsidRPr="006A612F">
        <w:rPr>
          <w:szCs w:val="17"/>
        </w:rPr>
        <w:t>, 767 F.2d at 168.</w:t>
      </w:r>
    </w:p>
  </w:footnote>
  <w:footnote w:id="241">
    <w:p w14:paraId="17C05E07" w14:textId="2D51BE4E" w:rsidR="00315997" w:rsidRPr="006A612F" w:rsidRDefault="00BF278E" w:rsidP="00AA6ED0">
      <w:pPr>
        <w:pStyle w:val="FootNote"/>
        <w:spacing w:line="240" w:lineRule="auto"/>
        <w:rPr>
          <w:szCs w:val="17"/>
        </w:rPr>
      </w:pPr>
      <w:r w:rsidRPr="006A612F">
        <w:rPr>
          <w:smallCaps/>
          <w:szCs w:val="17"/>
          <w:shd w:val="clear" w:color="auto" w:fill="FFFFFF"/>
        </w:rPr>
        <w:fldChar w:fldCharType="begin"/>
      </w:r>
      <w:r w:rsidRPr="006A612F">
        <w:rPr>
          <w:smallCaps/>
          <w:szCs w:val="17"/>
          <w:shd w:val="clear" w:color="auto" w:fill="FFFFFF"/>
        </w:rPr>
        <w:instrText xml:space="preserve"> ADVANCE \r12 \* MERGEFORMAT </w:instrText>
      </w:r>
      <w:r w:rsidRPr="006A612F">
        <w:rPr>
          <w:smallCaps/>
          <w:szCs w:val="17"/>
          <w:shd w:val="clear" w:color="auto" w:fill="FFFFFF"/>
        </w:rPr>
        <w:fldChar w:fldCharType="end"/>
      </w:r>
      <w:r w:rsidR="00315997" w:rsidRPr="00732F34">
        <w:rPr>
          <w:rStyle w:val="NoterefInNote"/>
        </w:rPr>
        <w:footnoteRef/>
      </w:r>
      <w:r w:rsidRPr="00732F34">
        <w:rPr>
          <w:smallCaps/>
          <w:szCs w:val="17"/>
          <w:shd w:val="clear" w:color="auto" w:fill="FFFFFF"/>
        </w:rPr>
        <w:t>.</w:t>
      </w:r>
      <w:r w:rsidRPr="006A612F">
        <w:rPr>
          <w:smallCaps/>
          <w:szCs w:val="17"/>
          <w:shd w:val="clear" w:color="auto" w:fill="FFFFFF"/>
        </w:rPr>
        <w:fldChar w:fldCharType="begin"/>
      </w:r>
      <w:r w:rsidRPr="006A612F">
        <w:rPr>
          <w:smallCaps/>
          <w:szCs w:val="17"/>
          <w:shd w:val="clear" w:color="auto" w:fill="FFFFFF"/>
        </w:rPr>
        <w:instrText xml:space="preserve"> ADVANCE \r4 \* MERGEFORMAT </w:instrText>
      </w:r>
      <w:r w:rsidRPr="006A612F">
        <w:rPr>
          <w:smallCaps/>
          <w:szCs w:val="17"/>
          <w:shd w:val="clear" w:color="auto" w:fill="FFFFFF"/>
        </w:rPr>
        <w:fldChar w:fldCharType="end"/>
      </w:r>
      <w:r w:rsidR="00315997" w:rsidRPr="006A612F">
        <w:rPr>
          <w:smallCaps/>
          <w:szCs w:val="17"/>
          <w:shd w:val="clear" w:color="auto" w:fill="FFFFFF"/>
        </w:rPr>
        <w:t>Restatement (Third) of Torts</w:t>
      </w:r>
      <w:r w:rsidR="00315997" w:rsidRPr="006A612F">
        <w:rPr>
          <w:szCs w:val="17"/>
          <w:shd w:val="clear" w:color="auto" w:fill="FFFFFF"/>
        </w:rPr>
        <w:t xml:space="preserve"> § 17 cmt. a (</w:t>
      </w:r>
      <w:r w:rsidR="00315997" w:rsidRPr="006A612F">
        <w:rPr>
          <w:smallCaps/>
          <w:szCs w:val="17"/>
          <w:shd w:val="clear" w:color="auto" w:fill="FFFFFF"/>
        </w:rPr>
        <w:t>Am. L. Inst</w:t>
      </w:r>
      <w:r w:rsidR="00315997" w:rsidRPr="006A612F">
        <w:rPr>
          <w:szCs w:val="17"/>
          <w:shd w:val="clear" w:color="auto" w:fill="FFFFFF"/>
        </w:rPr>
        <w:t>. 1999).</w:t>
      </w:r>
    </w:p>
  </w:footnote>
  <w:footnote w:id="242">
    <w:p w14:paraId="065D10FD" w14:textId="3BC5EFEE" w:rsidR="00315997" w:rsidRPr="006A612F" w:rsidRDefault="00BF278E" w:rsidP="00AA6ED0">
      <w:pPr>
        <w:pStyle w:val="FootNote"/>
        <w:spacing w:line="240" w:lineRule="auto"/>
      </w:pPr>
      <w:r w:rsidRPr="006A612F">
        <w:rPr>
          <w:iCs/>
          <w:szCs w:val="17"/>
        </w:rPr>
        <w:fldChar w:fldCharType="begin"/>
      </w:r>
      <w:r w:rsidRPr="006A612F">
        <w:rPr>
          <w:iCs/>
          <w:szCs w:val="17"/>
        </w:rPr>
        <w:instrText xml:space="preserve"> ADVANCE \r12 \* MERGEFORMAT </w:instrText>
      </w:r>
      <w:r w:rsidRPr="006A612F">
        <w:rPr>
          <w:iCs/>
          <w:szCs w:val="17"/>
        </w:rPr>
        <w:fldChar w:fldCharType="end"/>
      </w:r>
      <w:r w:rsidR="00315997" w:rsidRPr="00732F34">
        <w:rPr>
          <w:rStyle w:val="NoterefInNote"/>
        </w:rPr>
        <w:footnoteRef/>
      </w:r>
      <w:r w:rsidRPr="00732F34">
        <w:rPr>
          <w:szCs w:val="17"/>
        </w:rPr>
        <w:t>.</w:t>
      </w:r>
      <w:r w:rsidRPr="006A612F">
        <w:rPr>
          <w:iCs/>
          <w:szCs w:val="17"/>
        </w:rPr>
        <w:fldChar w:fldCharType="begin"/>
      </w:r>
      <w:r w:rsidRPr="006A612F">
        <w:rPr>
          <w:iCs/>
          <w:szCs w:val="17"/>
        </w:rPr>
        <w:instrText xml:space="preserve"> ADVANCE \r4 \* MERGEFORMAT </w:instrText>
      </w:r>
      <w:r w:rsidRPr="006A612F">
        <w:rPr>
          <w:iCs/>
          <w:szCs w:val="17"/>
        </w:rPr>
        <w:fldChar w:fldCharType="end"/>
      </w:r>
      <w:r w:rsidR="00315997" w:rsidRPr="006A612F">
        <w:rPr>
          <w:iCs/>
          <w:szCs w:val="17"/>
        </w:rPr>
        <w:t>159 Eng. Rep. 299 (Ex. 1863).</w:t>
      </w:r>
    </w:p>
  </w:footnote>
  <w:footnote w:id="243">
    <w:p w14:paraId="49E3E2F2" w14:textId="1D9947E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300.</w:t>
      </w:r>
    </w:p>
  </w:footnote>
  <w:footnote w:id="244">
    <w:p w14:paraId="468644CA" w14:textId="64F64B83"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299.</w:t>
      </w:r>
    </w:p>
  </w:footnote>
  <w:footnote w:id="245">
    <w:p w14:paraId="2809E249" w14:textId="04923E7B"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46">
    <w:p w14:paraId="1E3AC963" w14:textId="7E7A7920"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47">
    <w:p w14:paraId="504C9DA6" w14:textId="0231377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48">
    <w:p w14:paraId="2648DC79" w14:textId="7B634969"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300–01.</w:t>
      </w:r>
    </w:p>
  </w:footnote>
  <w:footnote w:id="249">
    <w:p w14:paraId="543EC866" w14:textId="0BD6E648"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Traut v. Beaty, 75 S.W.3d 661, 664 (Tex. App. 2002); </w:t>
      </w:r>
      <w:r w:rsidR="00315997" w:rsidRPr="006A612F">
        <w:rPr>
          <w:i/>
          <w:szCs w:val="17"/>
        </w:rPr>
        <w:t>see also</w:t>
      </w:r>
      <w:r w:rsidR="00315997" w:rsidRPr="006A612F">
        <w:rPr>
          <w:szCs w:val="17"/>
        </w:rPr>
        <w:t xml:space="preserve"> Colemenares Vivas v. Sun Alliance Ins. Co., 807 F.2d 1102, 1105–06 (1st Cir. 1986) (holding that negligence on the part of a defendant may be presumed when the character of the incident is one in which it would typically not occur absent negligence, and the instrumentality causing the injury was within the exclusive control of the defendant; and noting that the instrumentality does not need to be in the physical control of the defendant, the control just must be such that the defendant has enough control to eliminate the possibility that the injury was caused by a third party). </w:t>
      </w:r>
      <w:r w:rsidRPr="006A612F">
        <w:rPr>
          <w:szCs w:val="17"/>
        </w:rPr>
        <w:t>“</w:t>
      </w:r>
      <w:r w:rsidR="00315997" w:rsidRPr="006A612F">
        <w:rPr>
          <w:szCs w:val="17"/>
        </w:rPr>
        <w:t>Once the plaintiff has met the burden of demonstrating the control and due care prongs of</w:t>
      </w:r>
      <w:r w:rsidR="00315997" w:rsidRPr="006A612F">
        <w:rPr>
          <w:i/>
          <w:szCs w:val="17"/>
        </w:rPr>
        <w:t xml:space="preserve"> </w:t>
      </w:r>
      <w:r w:rsidR="00315997" w:rsidRPr="006A612F">
        <w:rPr>
          <w:iCs/>
          <w:szCs w:val="17"/>
        </w:rPr>
        <w:t>res ipsa loquitur</w:t>
      </w:r>
      <w:r w:rsidR="00315997" w:rsidRPr="006A612F">
        <w:rPr>
          <w:szCs w:val="17"/>
        </w:rPr>
        <w:t>, the doctrine operates to permit an inference of negligence based upon the circumstantial evidence.</w:t>
      </w:r>
      <w:r w:rsidRPr="006A612F">
        <w:rPr>
          <w:szCs w:val="17"/>
        </w:rPr>
        <w:t>”</w:t>
      </w:r>
      <w:r w:rsidR="00315997" w:rsidRPr="006A612F">
        <w:rPr>
          <w:szCs w:val="17"/>
        </w:rPr>
        <w:t xml:space="preserve"> Maroules v. Jumbo, Inc., 452 F.3d 639, 642 (7th Cir. 2006).</w:t>
      </w:r>
    </w:p>
  </w:footnote>
  <w:footnote w:id="250">
    <w:p w14:paraId="079AE4F9" w14:textId="5F655E9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Brewster v. United States, 542 N.W.2d 524, 528 (Iowa 1996).</w:t>
      </w:r>
    </w:p>
  </w:footnote>
  <w:footnote w:id="251">
    <w:p w14:paraId="5C4ED7DB" w14:textId="4826DDE8"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szCs w:val="17"/>
        </w:rPr>
        <w:t xml:space="preserve"> (noting that the character of the accident is a requirement to qualify as circumstantial evidence of negligence and that the circumstances of the accident must point to negligence on the part of the defendant).</w:t>
      </w:r>
    </w:p>
  </w:footnote>
  <w:footnote w:id="252">
    <w:p w14:paraId="57BBDDA0" w14:textId="5435FEAB"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24777B">
        <w:rPr>
          <w:i/>
          <w:szCs w:val="17"/>
        </w:rPr>
        <w:t>Id.</w:t>
      </w:r>
      <w:r w:rsidR="00315997" w:rsidRPr="006A612F">
        <w:rPr>
          <w:szCs w:val="17"/>
        </w:rPr>
        <w:t xml:space="preserve"> (</w:t>
      </w:r>
      <w:r w:rsidRPr="006A612F">
        <w:rPr>
          <w:szCs w:val="17"/>
        </w:rPr>
        <w:t>“</w:t>
      </w:r>
      <w:r w:rsidR="00315997" w:rsidRPr="006A612F">
        <w:rPr>
          <w:szCs w:val="17"/>
        </w:rPr>
        <w:t xml:space="preserve">The purpose of the </w:t>
      </w:r>
      <w:r w:rsidRPr="006A612F">
        <w:rPr>
          <w:szCs w:val="17"/>
        </w:rPr>
        <w:t>‘</w:t>
      </w:r>
      <w:r w:rsidR="00315997" w:rsidRPr="006A612F">
        <w:rPr>
          <w:szCs w:val="17"/>
        </w:rPr>
        <w:t>under the management of defendant</w:t>
      </w:r>
      <w:r w:rsidRPr="006A612F">
        <w:rPr>
          <w:szCs w:val="17"/>
        </w:rPr>
        <w:t>’</w:t>
      </w:r>
      <w:r w:rsidR="00315997" w:rsidRPr="006A612F">
        <w:rPr>
          <w:szCs w:val="17"/>
        </w:rPr>
        <w:t xml:space="preserve"> requirement is </w:t>
      </w:r>
      <w:r w:rsidRPr="006A612F">
        <w:rPr>
          <w:szCs w:val="17"/>
        </w:rPr>
        <w:t>‘</w:t>
      </w:r>
      <w:r w:rsidR="00315997" w:rsidRPr="006A612F">
        <w:rPr>
          <w:szCs w:val="17"/>
        </w:rPr>
        <w:t>to link the defendant with the probability, already established, that the accident was negligently caused.</w:t>
      </w:r>
      <w:r w:rsidRPr="006A612F">
        <w:rPr>
          <w:szCs w:val="17"/>
        </w:rPr>
        <w:t>’”</w:t>
      </w:r>
      <w:r w:rsidR="00315997" w:rsidRPr="006A612F">
        <w:rPr>
          <w:szCs w:val="17"/>
        </w:rPr>
        <w:t xml:space="preserve"> (quoting </w:t>
      </w:r>
      <w:r w:rsidR="00315997" w:rsidRPr="006A612F">
        <w:rPr>
          <w:i/>
          <w:iCs/>
          <w:szCs w:val="17"/>
        </w:rPr>
        <w:t>Byrne</w:t>
      </w:r>
      <w:r w:rsidR="00315997" w:rsidRPr="006A612F">
        <w:rPr>
          <w:szCs w:val="17"/>
        </w:rPr>
        <w:t>, 159 Eng. Rep. at 248)).</w:t>
      </w:r>
    </w:p>
  </w:footnote>
  <w:footnote w:id="253">
    <w:p w14:paraId="5D3220A2" w14:textId="3059057C"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Byrne</w:t>
      </w:r>
      <w:r w:rsidR="00315997" w:rsidRPr="006A612F">
        <w:rPr>
          <w:szCs w:val="17"/>
        </w:rPr>
        <w:t>,</w:t>
      </w:r>
      <w:r w:rsidR="00315997" w:rsidRPr="006A612F">
        <w:rPr>
          <w:i/>
          <w:iCs/>
          <w:szCs w:val="17"/>
        </w:rPr>
        <w:t xml:space="preserve"> </w:t>
      </w:r>
      <w:r w:rsidR="00315997" w:rsidRPr="006A612F">
        <w:rPr>
          <w:szCs w:val="17"/>
        </w:rPr>
        <w:t>159 Eng. Rep. at 301 (</w:t>
      </w:r>
      <w:r w:rsidRPr="006A612F">
        <w:rPr>
          <w:szCs w:val="17"/>
          <w:shd w:val="clear" w:color="auto" w:fill="FFFFFF"/>
        </w:rPr>
        <w:t>“</w:t>
      </w:r>
      <w:r w:rsidR="00315997" w:rsidRPr="006A612F">
        <w:rPr>
          <w:szCs w:val="17"/>
          <w:shd w:val="clear" w:color="auto" w:fill="FFFFFF"/>
        </w:rPr>
        <w:t>[B]ut if there are any facts inconsistent with negligence it is for the defendant to prove them.</w:t>
      </w:r>
      <w:r w:rsidRPr="006A612F">
        <w:rPr>
          <w:szCs w:val="17"/>
          <w:shd w:val="clear" w:color="auto" w:fill="FFFFFF"/>
        </w:rPr>
        <w:t>”</w:t>
      </w:r>
      <w:r w:rsidR="00315997" w:rsidRPr="006A612F">
        <w:rPr>
          <w:szCs w:val="17"/>
          <w:shd w:val="clear" w:color="auto" w:fill="FFFFFF"/>
        </w:rPr>
        <w:t xml:space="preserve">). </w:t>
      </w:r>
      <w:r w:rsidRPr="006A612F">
        <w:rPr>
          <w:szCs w:val="17"/>
          <w:shd w:val="clear" w:color="auto" w:fill="FFFFFF"/>
        </w:rPr>
        <w:t>“</w:t>
      </w:r>
      <w:r w:rsidR="00315997" w:rsidRPr="006A612F">
        <w:rPr>
          <w:szCs w:val="17"/>
        </w:rPr>
        <w:t>In the beginning, </w:t>
      </w:r>
      <w:r w:rsidR="00315997" w:rsidRPr="006A612F">
        <w:rPr>
          <w:iCs/>
          <w:szCs w:val="17"/>
          <w:shd w:val="clear" w:color="auto" w:fill="FFFFFF"/>
        </w:rPr>
        <w:t>res</w:t>
      </w:r>
      <w:r w:rsidR="00315997" w:rsidRPr="006A612F">
        <w:rPr>
          <w:iCs/>
          <w:szCs w:val="17"/>
        </w:rPr>
        <w:t> </w:t>
      </w:r>
      <w:r w:rsidR="00315997" w:rsidRPr="006A612F">
        <w:rPr>
          <w:iCs/>
          <w:szCs w:val="17"/>
          <w:shd w:val="clear" w:color="auto" w:fill="FFFFFF"/>
        </w:rPr>
        <w:t>ipsa</w:t>
      </w:r>
      <w:r w:rsidR="00315997" w:rsidRPr="006A612F">
        <w:rPr>
          <w:iCs/>
          <w:szCs w:val="17"/>
        </w:rPr>
        <w:t> </w:t>
      </w:r>
      <w:r w:rsidR="00315997" w:rsidRPr="006A612F">
        <w:rPr>
          <w:iCs/>
          <w:szCs w:val="17"/>
          <w:shd w:val="clear" w:color="auto" w:fill="FFFFFF"/>
        </w:rPr>
        <w:t>loquitur</w:t>
      </w:r>
      <w:r w:rsidR="00315997" w:rsidRPr="006A612F">
        <w:rPr>
          <w:szCs w:val="17"/>
        </w:rPr>
        <w:t xml:space="preserve"> </w:t>
      </w:r>
      <w:r w:rsidRPr="006A612F">
        <w:rPr>
          <w:szCs w:val="17"/>
        </w:rPr>
        <w:t>‘</w:t>
      </w:r>
      <w:r w:rsidR="00315997" w:rsidRPr="006A612F">
        <w:rPr>
          <w:szCs w:val="17"/>
        </w:rPr>
        <w:t>was nothing more than a reasonable conclusion, from the circumstances of an unusual accident, that it was probably the defendant</w:t>
      </w:r>
      <w:r w:rsidRPr="006A612F">
        <w:rPr>
          <w:szCs w:val="17"/>
        </w:rPr>
        <w:t>’</w:t>
      </w:r>
      <w:r w:rsidR="00315997" w:rsidRPr="006A612F">
        <w:rPr>
          <w:szCs w:val="17"/>
        </w:rPr>
        <w:t>s fault.</w:t>
      </w:r>
      <w:r w:rsidRPr="006A612F">
        <w:rPr>
          <w:szCs w:val="17"/>
        </w:rPr>
        <w:t>’”</w:t>
      </w:r>
      <w:r w:rsidR="00315997" w:rsidRPr="006A612F">
        <w:rPr>
          <w:szCs w:val="17"/>
        </w:rPr>
        <w:t xml:space="preserve"> </w:t>
      </w:r>
      <w:r w:rsidR="00315997" w:rsidRPr="006A612F">
        <w:rPr>
          <w:i/>
          <w:iCs/>
          <w:szCs w:val="17"/>
        </w:rPr>
        <w:t>Brewster</w:t>
      </w:r>
      <w:r w:rsidR="00315997" w:rsidRPr="006A612F">
        <w:rPr>
          <w:szCs w:val="17"/>
        </w:rPr>
        <w:t xml:space="preserve">, 542 N.W.2d at 528 (citations omitted) (quoting </w:t>
      </w:r>
      <w:r w:rsidR="00315997" w:rsidRPr="006A612F">
        <w:rPr>
          <w:smallCaps/>
          <w:szCs w:val="17"/>
        </w:rPr>
        <w:t>Keeton</w:t>
      </w:r>
      <w:r w:rsidR="00315997" w:rsidRPr="006A612F">
        <w:rPr>
          <w:szCs w:val="17"/>
        </w:rPr>
        <w:t xml:space="preserve">, </w:t>
      </w:r>
      <w:r w:rsidR="00315997" w:rsidRPr="006A612F">
        <w:rPr>
          <w:i/>
          <w:iCs/>
          <w:szCs w:val="17"/>
        </w:rPr>
        <w:t xml:space="preserve">supra </w:t>
      </w:r>
      <w:r w:rsidR="00315997" w:rsidRPr="006A612F">
        <w:rPr>
          <w:szCs w:val="17"/>
        </w:rPr>
        <w:t xml:space="preserve">note </w:t>
      </w:r>
      <w:r w:rsidR="00315997" w:rsidRPr="006A612F">
        <w:rPr>
          <w:szCs w:val="17"/>
        </w:rPr>
        <w:fldChar w:fldCharType="begin"/>
      </w:r>
      <w:r w:rsidR="00315997" w:rsidRPr="006A612F">
        <w:rPr>
          <w:szCs w:val="17"/>
        </w:rPr>
        <w:instrText xml:space="preserve"> NOTEREF _Ref88328308 \h  \* MERGEFORMAT </w:instrText>
      </w:r>
      <w:r w:rsidR="00315997" w:rsidRPr="006A612F">
        <w:rPr>
          <w:szCs w:val="17"/>
        </w:rPr>
      </w:r>
      <w:r w:rsidR="00315997" w:rsidRPr="006A612F">
        <w:rPr>
          <w:szCs w:val="17"/>
        </w:rPr>
        <w:fldChar w:fldCharType="separate"/>
      </w:r>
      <w:r w:rsidR="00AA6ED0" w:rsidRPr="006A612F">
        <w:rPr>
          <w:szCs w:val="17"/>
        </w:rPr>
        <w:t>213</w:t>
      </w:r>
      <w:r w:rsidR="00315997" w:rsidRPr="006A612F">
        <w:rPr>
          <w:szCs w:val="17"/>
        </w:rPr>
        <w:fldChar w:fldCharType="end"/>
      </w:r>
      <w:r w:rsidR="00315997" w:rsidRPr="006A612F">
        <w:rPr>
          <w:szCs w:val="17"/>
        </w:rPr>
        <w:t xml:space="preserve">, at 243). However, </w:t>
      </w:r>
      <w:r w:rsidRPr="006A612F">
        <w:rPr>
          <w:szCs w:val="17"/>
        </w:rPr>
        <w:t>“</w:t>
      </w:r>
      <w:r w:rsidR="00315997" w:rsidRPr="006A612F">
        <w:rPr>
          <w:iCs/>
          <w:szCs w:val="17"/>
          <w:shd w:val="clear" w:color="auto" w:fill="FFFFFF"/>
        </w:rPr>
        <w:t>res</w:t>
      </w:r>
      <w:r w:rsidR="00315997" w:rsidRPr="006A612F">
        <w:rPr>
          <w:iCs/>
          <w:szCs w:val="17"/>
        </w:rPr>
        <w:t> </w:t>
      </w:r>
      <w:r w:rsidR="00315997" w:rsidRPr="006A612F">
        <w:rPr>
          <w:iCs/>
          <w:szCs w:val="17"/>
          <w:shd w:val="clear" w:color="auto" w:fill="FFFFFF"/>
        </w:rPr>
        <w:t>ipsa</w:t>
      </w:r>
      <w:r w:rsidR="00315997" w:rsidRPr="006A612F">
        <w:rPr>
          <w:iCs/>
          <w:szCs w:val="17"/>
        </w:rPr>
        <w:t> </w:t>
      </w:r>
      <w:r w:rsidR="00315997" w:rsidRPr="006A612F">
        <w:rPr>
          <w:iCs/>
          <w:szCs w:val="17"/>
          <w:shd w:val="clear" w:color="auto" w:fill="FFFFFF"/>
        </w:rPr>
        <w:t>loquitur</w:t>
      </w:r>
      <w:r w:rsidR="00315997" w:rsidRPr="006A612F">
        <w:rPr>
          <w:szCs w:val="17"/>
        </w:rPr>
        <w:t xml:space="preserve"> grew to cover two principles: one was concerned with the sufficiency of circumstantial evidence; the other was concerned with the burden of proof. From this fusion, the </w:t>
      </w:r>
      <w:r w:rsidRPr="006A612F">
        <w:rPr>
          <w:szCs w:val="17"/>
        </w:rPr>
        <w:t>‘</w:t>
      </w:r>
      <w:r w:rsidR="00315997" w:rsidRPr="006A612F">
        <w:rPr>
          <w:szCs w:val="17"/>
        </w:rPr>
        <w:t>doctrine</w:t>
      </w:r>
      <w:r w:rsidRPr="006A612F">
        <w:rPr>
          <w:szCs w:val="17"/>
        </w:rPr>
        <w:t>’</w:t>
      </w:r>
      <w:r w:rsidR="00315997" w:rsidRPr="006A612F">
        <w:rPr>
          <w:szCs w:val="17"/>
        </w:rPr>
        <w:t xml:space="preserve"> of res ipsa loquitur developed.</w:t>
      </w:r>
      <w:r w:rsidRPr="006A612F">
        <w:rPr>
          <w:szCs w:val="17"/>
        </w:rPr>
        <w:t>”</w:t>
      </w:r>
      <w:r w:rsidR="00315997" w:rsidRPr="006A612F">
        <w:rPr>
          <w:szCs w:val="17"/>
        </w:rPr>
        <w:t xml:space="preserve"> </w:t>
      </w:r>
      <w:r w:rsidR="00315997" w:rsidRPr="0024777B">
        <w:rPr>
          <w:i/>
          <w:szCs w:val="17"/>
        </w:rPr>
        <w:t>Id.</w:t>
      </w:r>
    </w:p>
  </w:footnote>
  <w:footnote w:id="254">
    <w:p w14:paraId="671ADB10" w14:textId="04111785" w:rsidR="00315997" w:rsidRPr="006A612F" w:rsidRDefault="00BF278E" w:rsidP="00AA6ED0">
      <w:pPr>
        <w:pStyle w:val="FootNote"/>
        <w:spacing w:line="240" w:lineRule="auto"/>
        <w:rPr>
          <w:color w:val="373739"/>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Information asymmetry occurs when one party to a dispute or transaction lacks critical information that the other party has. </w:t>
      </w:r>
      <w:r w:rsidR="00315997" w:rsidRPr="006A612F">
        <w:rPr>
          <w:i/>
          <w:szCs w:val="17"/>
        </w:rPr>
        <w:t>See</w:t>
      </w:r>
      <w:r w:rsidR="00315997" w:rsidRPr="006A612F">
        <w:rPr>
          <w:i/>
          <w:iCs/>
          <w:szCs w:val="17"/>
        </w:rPr>
        <w:t>,</w:t>
      </w:r>
      <w:r w:rsidR="00315997" w:rsidRPr="006A612F">
        <w:rPr>
          <w:i/>
          <w:szCs w:val="17"/>
        </w:rPr>
        <w:t xml:space="preserve"> </w:t>
      </w:r>
      <w:r w:rsidR="00315997" w:rsidRPr="0024777B">
        <w:rPr>
          <w:i/>
          <w:szCs w:val="17"/>
        </w:rPr>
        <w:t>e.g.</w:t>
      </w:r>
      <w:r w:rsidR="00315997" w:rsidRPr="006A612F">
        <w:rPr>
          <w:szCs w:val="17"/>
        </w:rPr>
        <w:t>,</w:t>
      </w:r>
      <w:r w:rsidR="00315997" w:rsidRPr="006A612F">
        <w:rPr>
          <w:i/>
          <w:szCs w:val="17"/>
        </w:rPr>
        <w:t xml:space="preserve"> </w:t>
      </w:r>
      <w:r w:rsidR="00315997" w:rsidRPr="006A612F">
        <w:rPr>
          <w:szCs w:val="17"/>
        </w:rPr>
        <w:t>Ybarra v. Spangard</w:t>
      </w:r>
      <w:r w:rsidR="00315997" w:rsidRPr="006A612F">
        <w:rPr>
          <w:i/>
          <w:iCs/>
          <w:szCs w:val="17"/>
        </w:rPr>
        <w:t xml:space="preserve">, </w:t>
      </w:r>
      <w:r w:rsidR="00315997" w:rsidRPr="006A612F">
        <w:rPr>
          <w:szCs w:val="17"/>
        </w:rPr>
        <w:t xml:space="preserve">154 P. 2d. 687, 689 (Cal. 1944) (stating that </w:t>
      </w:r>
      <w:r w:rsidRPr="006A612F">
        <w:rPr>
          <w:szCs w:val="17"/>
        </w:rPr>
        <w:t>“</w:t>
      </w:r>
      <w:r w:rsidR="00315997" w:rsidRPr="006A612F">
        <w:rPr>
          <w:szCs w:val="17"/>
        </w:rPr>
        <w:t>the particular force and justice of the rule, regarded as a presumption throwing upon the party charged the duty of producing evidence, consists in the circumstance that the chief evidence of the true cause, whether culpable or innocent, is practically accessible to him but inaccessible to the injured person</w:t>
      </w:r>
      <w:r w:rsidRPr="006A612F">
        <w:rPr>
          <w:szCs w:val="17"/>
        </w:rPr>
        <w:t>”</w:t>
      </w:r>
      <w:r w:rsidR="00315997" w:rsidRPr="006A612F">
        <w:rPr>
          <w:szCs w:val="17"/>
        </w:rPr>
        <w:t>)</w:t>
      </w:r>
      <w:r w:rsidR="00315997" w:rsidRPr="006A612F">
        <w:rPr>
          <w:color w:val="373739"/>
          <w:szCs w:val="17"/>
        </w:rPr>
        <w:t>.</w:t>
      </w:r>
    </w:p>
  </w:footnote>
  <w:footnote w:id="255">
    <w:p w14:paraId="0C52EA74" w14:textId="129F8FBC" w:rsidR="00315997" w:rsidRPr="006A612F" w:rsidRDefault="00BF278E" w:rsidP="00AA6ED0">
      <w:pPr>
        <w:pStyle w:val="FootNote"/>
        <w:spacing w:line="240" w:lineRule="auto"/>
        <w:rPr>
          <w:szCs w:val="17"/>
        </w:rPr>
      </w:pPr>
      <w:r w:rsidRPr="006A612F">
        <w:rPr>
          <w:i/>
          <w:iCs/>
          <w:szCs w:val="17"/>
          <w:shd w:val="clear" w:color="auto" w:fill="FFFFFF"/>
        </w:rPr>
        <w:fldChar w:fldCharType="begin"/>
      </w:r>
      <w:r w:rsidRPr="006A612F">
        <w:rPr>
          <w:i/>
          <w:iCs/>
          <w:szCs w:val="17"/>
          <w:shd w:val="clear" w:color="auto" w:fill="FFFFFF"/>
        </w:rPr>
        <w:instrText xml:space="preserve"> ADVANCE \r12 \* MERGEFORMAT </w:instrText>
      </w:r>
      <w:r w:rsidRPr="006A612F">
        <w:rPr>
          <w:i/>
          <w:iCs/>
          <w:szCs w:val="17"/>
          <w:shd w:val="clear" w:color="auto" w:fill="FFFFFF"/>
        </w:rPr>
        <w:fldChar w:fldCharType="end"/>
      </w:r>
      <w:r w:rsidR="00315997" w:rsidRPr="00732F34">
        <w:rPr>
          <w:rStyle w:val="NoterefInNote"/>
        </w:rPr>
        <w:footnoteRef/>
      </w:r>
      <w:r w:rsidRPr="00732F34">
        <w:rPr>
          <w:szCs w:val="17"/>
          <w:shd w:val="clear" w:color="auto" w:fill="FFFFFF"/>
        </w:rPr>
        <w:t>.</w:t>
      </w:r>
      <w:r w:rsidRPr="006A612F">
        <w:rPr>
          <w:i/>
          <w:iCs/>
          <w:szCs w:val="17"/>
          <w:shd w:val="clear" w:color="auto" w:fill="FFFFFF"/>
        </w:rPr>
        <w:fldChar w:fldCharType="begin"/>
      </w:r>
      <w:r w:rsidRPr="006A612F">
        <w:rPr>
          <w:i/>
          <w:iCs/>
          <w:szCs w:val="17"/>
          <w:shd w:val="clear" w:color="auto" w:fill="FFFFFF"/>
        </w:rPr>
        <w:instrText xml:space="preserve"> ADVANCE \r4 \* MERGEFORMAT </w:instrText>
      </w:r>
      <w:r w:rsidRPr="006A612F">
        <w:rPr>
          <w:i/>
          <w:iCs/>
          <w:szCs w:val="17"/>
          <w:shd w:val="clear" w:color="auto" w:fill="FFFFFF"/>
        </w:rPr>
        <w:fldChar w:fldCharType="end"/>
      </w:r>
      <w:r w:rsidR="00315997" w:rsidRPr="006A612F">
        <w:rPr>
          <w:i/>
          <w:iCs/>
          <w:szCs w:val="17"/>
          <w:shd w:val="clear" w:color="auto" w:fill="FFFFFF"/>
        </w:rPr>
        <w:t>Byrne</w:t>
      </w:r>
      <w:r w:rsidR="00315997" w:rsidRPr="006A612F">
        <w:rPr>
          <w:szCs w:val="17"/>
          <w:shd w:val="clear" w:color="auto" w:fill="FFFFFF"/>
        </w:rPr>
        <w:t>, 159 Eng. Rep. at 301. For this reason, it is not surprising that res ips</w:t>
      </w:r>
      <w:r w:rsidR="00315997" w:rsidRPr="006A612F">
        <w:rPr>
          <w:szCs w:val="17"/>
        </w:rPr>
        <w:t>a</w:t>
      </w:r>
      <w:r w:rsidR="00315997" w:rsidRPr="006A612F">
        <w:rPr>
          <w:szCs w:val="17"/>
          <w:shd w:val="clear" w:color="auto" w:fill="FFFFFF"/>
        </w:rPr>
        <w:t xml:space="preserve"> loquitur has also found its way into medical malpractice cases. For example, in </w:t>
      </w:r>
      <w:r w:rsidR="00315997" w:rsidRPr="006A612F">
        <w:rPr>
          <w:i/>
          <w:szCs w:val="17"/>
          <w:shd w:val="clear" w:color="auto" w:fill="FFFFFF"/>
        </w:rPr>
        <w:t>Ales v. Ryan</w:t>
      </w:r>
      <w:r w:rsidR="00315997" w:rsidRPr="006A612F">
        <w:rPr>
          <w:iCs/>
          <w:szCs w:val="17"/>
          <w:shd w:val="clear" w:color="auto" w:fill="FFFFFF"/>
        </w:rPr>
        <w:t>,</w:t>
      </w:r>
      <w:r w:rsidR="00315997" w:rsidRPr="006A612F">
        <w:rPr>
          <w:szCs w:val="17"/>
          <w:shd w:val="clear" w:color="auto" w:fill="FFFFFF"/>
        </w:rPr>
        <w:t xml:space="preserve"> the plaintiff alleged that Rose Carauddo died after the defendant, the operating surgeon, left a large sponge in the cavity of her abdomen following gallbladder surgery. </w:t>
      </w:r>
      <w:r w:rsidR="00315997" w:rsidRPr="006A612F">
        <w:rPr>
          <w:szCs w:val="17"/>
        </w:rPr>
        <w:t>64 P.2d 409, 415 (Cal. 1936)</w:t>
      </w:r>
      <w:r w:rsidR="00315997" w:rsidRPr="006A612F">
        <w:rPr>
          <w:szCs w:val="17"/>
          <w:shd w:val="clear" w:color="auto" w:fill="FFFFFF"/>
        </w:rPr>
        <w:t>. The plaintiff argued that the discovery of the sponge during a later surgery was prima facie evidence of the defendant</w:t>
      </w:r>
      <w:r w:rsidRPr="006A612F">
        <w:rPr>
          <w:szCs w:val="17"/>
          <w:shd w:val="clear" w:color="auto" w:fill="FFFFFF"/>
        </w:rPr>
        <w:t>’</w:t>
      </w:r>
      <w:r w:rsidR="00315997" w:rsidRPr="006A612F">
        <w:rPr>
          <w:szCs w:val="17"/>
          <w:shd w:val="clear" w:color="auto" w:fill="FFFFFF"/>
        </w:rPr>
        <w:t xml:space="preserve">s negligence. </w:t>
      </w:r>
      <w:r w:rsidR="00315997" w:rsidRPr="0024777B">
        <w:rPr>
          <w:i/>
          <w:szCs w:val="17"/>
          <w:shd w:val="clear" w:color="auto" w:fill="FFFFFF"/>
        </w:rPr>
        <w:t>Id.</w:t>
      </w:r>
      <w:r w:rsidR="00315997" w:rsidRPr="006A612F">
        <w:rPr>
          <w:szCs w:val="17"/>
          <w:shd w:val="clear" w:color="auto" w:fill="FFFFFF"/>
        </w:rPr>
        <w:t xml:space="preserve"> Holding that the doctrine applied in this particular context, the court noted that its affirmance will provide </w:t>
      </w:r>
      <w:r w:rsidRPr="006A612F">
        <w:rPr>
          <w:szCs w:val="17"/>
          <w:shd w:val="clear" w:color="auto" w:fill="FFFFFF"/>
        </w:rPr>
        <w:t>“</w:t>
      </w:r>
      <w:r w:rsidR="00315997" w:rsidRPr="006A612F">
        <w:rPr>
          <w:szCs w:val="17"/>
          <w:shd w:val="clear" w:color="auto" w:fill="FFFFFF"/>
        </w:rPr>
        <w:t>to the surgeon all of the protection the law intended [and] will also give to a helpless unconscious patient an assurance of the laws solicited in his behalf.</w:t>
      </w:r>
      <w:r w:rsidRPr="006A612F">
        <w:rPr>
          <w:szCs w:val="17"/>
          <w:shd w:val="clear" w:color="auto" w:fill="FFFFFF"/>
        </w:rPr>
        <w:t>”</w:t>
      </w:r>
      <w:r w:rsidR="00315997" w:rsidRPr="006A612F">
        <w:rPr>
          <w:szCs w:val="17"/>
          <w:shd w:val="clear" w:color="auto" w:fill="FFFFFF"/>
        </w:rPr>
        <w:t xml:space="preserve"> </w:t>
      </w:r>
      <w:r w:rsidR="00315997" w:rsidRPr="0024777B">
        <w:rPr>
          <w:i/>
          <w:szCs w:val="17"/>
          <w:shd w:val="clear" w:color="auto" w:fill="FFFFFF"/>
        </w:rPr>
        <w:t>Id.</w:t>
      </w:r>
      <w:r w:rsidR="00315997" w:rsidRPr="006A612F">
        <w:rPr>
          <w:i/>
          <w:iCs/>
          <w:szCs w:val="17"/>
          <w:shd w:val="clear" w:color="auto" w:fill="FFFFFF"/>
        </w:rPr>
        <w:t xml:space="preserve"> </w:t>
      </w:r>
      <w:r w:rsidR="00315997" w:rsidRPr="006A612F">
        <w:rPr>
          <w:szCs w:val="17"/>
          <w:shd w:val="clear" w:color="auto" w:fill="FFFFFF"/>
        </w:rPr>
        <w:t>at 417.</w:t>
      </w:r>
    </w:p>
  </w:footnote>
  <w:footnote w:id="256">
    <w:p w14:paraId="63F91E5C" w14:textId="1EDF1672"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w:t>
      </w:r>
      <w:r w:rsidR="00315997" w:rsidRPr="006A612F">
        <w:rPr>
          <w:szCs w:val="17"/>
          <w:bdr w:val="none" w:sz="0" w:space="0" w:color="auto" w:frame="1"/>
        </w:rPr>
        <w:t>Jutrowski v. Township of Riverdale</w:t>
      </w:r>
      <w:r w:rsidR="00315997" w:rsidRPr="006A612F">
        <w:rPr>
          <w:szCs w:val="17"/>
        </w:rPr>
        <w:t xml:space="preserve">, 904 F.3d 280, 297–98 (3d Cir. 2018) (noting that the plaintiff offered testimony </w:t>
      </w:r>
      <w:r w:rsidR="00315997" w:rsidRPr="006A612F">
        <w:rPr>
          <w:szCs w:val="17"/>
          <w:shd w:val="clear" w:color="auto" w:fill="FFFFFF"/>
        </w:rPr>
        <w:t xml:space="preserve">of a medical expert </w:t>
      </w:r>
      <w:r w:rsidRPr="006A612F">
        <w:rPr>
          <w:szCs w:val="17"/>
          <w:shd w:val="clear" w:color="auto" w:fill="FFFFFF"/>
        </w:rPr>
        <w:t>“</w:t>
      </w:r>
      <w:r w:rsidR="00315997" w:rsidRPr="006A612F">
        <w:rPr>
          <w:szCs w:val="17"/>
          <w:shd w:val="clear" w:color="auto" w:fill="FFFFFF"/>
        </w:rPr>
        <w:t>who averred that Jutrowski</w:t>
      </w:r>
      <w:r w:rsidRPr="006A612F">
        <w:rPr>
          <w:szCs w:val="17"/>
          <w:shd w:val="clear" w:color="auto" w:fill="FFFFFF"/>
        </w:rPr>
        <w:t>’</w:t>
      </w:r>
      <w:r w:rsidR="00315997" w:rsidRPr="006A612F">
        <w:rPr>
          <w:szCs w:val="17"/>
          <w:shd w:val="clear" w:color="auto" w:fill="FFFFFF"/>
        </w:rPr>
        <w:t xml:space="preserve">s injury most likely resulted from </w:t>
      </w:r>
      <w:r w:rsidRPr="006A612F">
        <w:rPr>
          <w:szCs w:val="17"/>
          <w:shd w:val="clear" w:color="auto" w:fill="FFFFFF"/>
        </w:rPr>
        <w:t>‘</w:t>
      </w:r>
      <w:r w:rsidR="00315997" w:rsidRPr="006A612F">
        <w:rPr>
          <w:szCs w:val="17"/>
          <w:shd w:val="clear" w:color="auto" w:fill="FFFFFF"/>
        </w:rPr>
        <w:t>either a kick or punch of significant force</w:t>
      </w:r>
      <w:r w:rsidRPr="006A612F">
        <w:rPr>
          <w:szCs w:val="17"/>
          <w:shd w:val="clear" w:color="auto" w:fill="FFFFFF"/>
        </w:rPr>
        <w:t>’”</w:t>
      </w:r>
      <w:r w:rsidR="00315997" w:rsidRPr="006A612F">
        <w:rPr>
          <w:szCs w:val="17"/>
          <w:shd w:val="clear" w:color="auto" w:fill="FFFFFF"/>
        </w:rPr>
        <w:t>).</w:t>
      </w:r>
    </w:p>
  </w:footnote>
  <w:footnote w:id="257">
    <w:p w14:paraId="6441AA9E" w14:textId="66F9960A"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Byrne</w:t>
      </w:r>
      <w:r w:rsidR="00315997" w:rsidRPr="006A612F">
        <w:rPr>
          <w:szCs w:val="17"/>
        </w:rPr>
        <w:t>, 159 Eng. Rep. at 299.</w:t>
      </w:r>
    </w:p>
  </w:footnote>
  <w:footnote w:id="258">
    <w:p w14:paraId="670E8E6E" w14:textId="53ECC792" w:rsidR="00315997" w:rsidRPr="006A612F" w:rsidRDefault="00BF278E" w:rsidP="00AA6ED0">
      <w:pPr>
        <w:pStyle w:val="FootNote"/>
        <w:spacing w:line="240" w:lineRule="auto"/>
        <w:rPr>
          <w:szCs w:val="17"/>
        </w:rPr>
      </w:pP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\r12 \* MERGEFORMAT </w:instrText>
      </w:r>
      <w:r w:rsidRPr="006A612F">
        <w:rPr>
          <w:color w:val="000000"/>
          <w:szCs w:val="17"/>
          <w:bdr w:val="none" w:sz="0" w:space="0" w:color="auto" w:frame="1"/>
        </w:rPr>
        <w:fldChar w:fldCharType="end"/>
      </w:r>
      <w:r w:rsidR="00315997" w:rsidRPr="00732F34">
        <w:rPr>
          <w:rStyle w:val="NoterefInNote"/>
        </w:rPr>
        <w:footnoteRef/>
      </w:r>
      <w:r w:rsidRPr="00732F34">
        <w:rPr>
          <w:color w:val="000000"/>
          <w:szCs w:val="17"/>
          <w:bdr w:val="none" w:sz="0" w:space="0" w:color="auto" w:frame="1"/>
        </w:rPr>
        <w:t>.</w:t>
      </w:r>
      <w:r w:rsidRPr="006A612F">
        <w:rPr>
          <w:color w:val="000000"/>
          <w:szCs w:val="17"/>
          <w:bdr w:val="none" w:sz="0" w:space="0" w:color="auto" w:frame="1"/>
        </w:rPr>
        <w:fldChar w:fldCharType="begin"/>
      </w:r>
      <w:r w:rsidRPr="006A612F">
        <w:rPr>
          <w:color w:val="000000"/>
          <w:szCs w:val="17"/>
          <w:bdr w:val="none" w:sz="0" w:space="0" w:color="auto" w:frame="1"/>
        </w:rPr>
        <w:instrText xml:space="preserve"> ADVANCE \r4 \* MERGEFORMAT </w:instrText>
      </w:r>
      <w:r w:rsidRPr="006A612F">
        <w:rPr>
          <w:color w:val="000000"/>
          <w:szCs w:val="17"/>
          <w:bdr w:val="none" w:sz="0" w:space="0" w:color="auto" w:frame="1"/>
        </w:rPr>
        <w:fldChar w:fldCharType="end"/>
      </w:r>
      <w:r w:rsidR="00315997" w:rsidRPr="006A612F">
        <w:rPr>
          <w:color w:val="000000"/>
          <w:szCs w:val="17"/>
          <w:bdr w:val="none" w:sz="0" w:space="0" w:color="auto" w:frame="1"/>
        </w:rPr>
        <w:t xml:space="preserve">Cases Noted, </w:t>
      </w:r>
      <w:r w:rsidR="00315997" w:rsidRPr="006A612F">
        <w:rPr>
          <w:i/>
          <w:iCs/>
          <w:color w:val="000000"/>
          <w:szCs w:val="17"/>
          <w:bdr w:val="none" w:sz="0" w:space="0" w:color="auto" w:frame="1"/>
        </w:rPr>
        <w:t>Res Ipsa Loquitur Against Multiple Defendants</w:t>
      </w:r>
      <w:r w:rsidR="00315997" w:rsidRPr="006A612F">
        <w:rPr>
          <w:color w:val="000000"/>
          <w:szCs w:val="17"/>
        </w:rPr>
        <w:t xml:space="preserve">, 52 </w:t>
      </w:r>
      <w:r w:rsidR="00315997" w:rsidRPr="006A612F">
        <w:rPr>
          <w:smallCaps/>
          <w:color w:val="000000"/>
          <w:szCs w:val="17"/>
        </w:rPr>
        <w:t>Colum. L. Rev</w:t>
      </w:r>
      <w:r w:rsidR="00315997" w:rsidRPr="006A612F">
        <w:rPr>
          <w:color w:val="000000"/>
          <w:szCs w:val="17"/>
        </w:rPr>
        <w:t>. 537, 537–38 (1952).</w:t>
      </w:r>
    </w:p>
  </w:footnote>
  <w:footnote w:id="259">
    <w:p w14:paraId="347AF817" w14:textId="57A578B3"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Restatement (Second) of Torts</w:t>
      </w:r>
      <w:r w:rsidR="00315997" w:rsidRPr="006A612F">
        <w:rPr>
          <w:szCs w:val="17"/>
        </w:rPr>
        <w:t xml:space="preserve"> § 433B(3) (</w:t>
      </w:r>
      <w:r w:rsidR="00315997" w:rsidRPr="006A612F">
        <w:rPr>
          <w:smallCaps/>
          <w:szCs w:val="17"/>
        </w:rPr>
        <w:t xml:space="preserve">Am. L. Inst. </w:t>
      </w:r>
      <w:r w:rsidR="00315997" w:rsidRPr="006A612F">
        <w:rPr>
          <w:szCs w:val="17"/>
        </w:rPr>
        <w:t>1965)</w:t>
      </w:r>
      <w:r w:rsidR="00315997" w:rsidRPr="006A612F">
        <w:rPr>
          <w:szCs w:val="17"/>
          <w:shd w:val="clear" w:color="auto" w:fill="FFFFFF"/>
        </w:rPr>
        <w:t>.</w:t>
      </w:r>
    </w:p>
  </w:footnote>
  <w:footnote w:id="260">
    <w:p w14:paraId="33F5927B" w14:textId="279B2412" w:rsidR="00315997" w:rsidRPr="007E4289" w:rsidRDefault="00BF278E" w:rsidP="00AA6ED0">
      <w:pPr>
        <w:pStyle w:val="FootNote"/>
        <w:spacing w:line="240" w:lineRule="auto"/>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154 P.2d 687 (Cal. 1944).</w:t>
      </w:r>
    </w:p>
  </w:footnote>
  <w:footnote w:id="261">
    <w:p w14:paraId="6C8C53EF" w14:textId="189555A1"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 xml:space="preserve">at 688. Plaintiff sued the surgeon, anesthetist, and several nurses. </w:t>
      </w:r>
      <w:r w:rsidR="00315997" w:rsidRPr="0024777B">
        <w:rPr>
          <w:i/>
          <w:szCs w:val="17"/>
        </w:rPr>
        <w:t>Id.</w:t>
      </w:r>
      <w:r w:rsidR="00315997" w:rsidRPr="006A612F">
        <w:rPr>
          <w:i/>
          <w:iCs/>
          <w:szCs w:val="17"/>
        </w:rPr>
        <w:t xml:space="preserve"> </w:t>
      </w:r>
      <w:r w:rsidR="00315997" w:rsidRPr="006A612F">
        <w:rPr>
          <w:szCs w:val="17"/>
        </w:rPr>
        <w:t>at 689.</w:t>
      </w:r>
    </w:p>
  </w:footnote>
  <w:footnote w:id="262">
    <w:p w14:paraId="5E7CDFE6" w14:textId="7F22E04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688.</w:t>
      </w:r>
    </w:p>
  </w:footnote>
  <w:footnote w:id="263">
    <w:p w14:paraId="3E334929" w14:textId="62D540E1" w:rsidR="00315997" w:rsidRPr="006A612F" w:rsidRDefault="00BF278E" w:rsidP="00AA6ED0">
      <w:pPr>
        <w:pStyle w:val="FootNote"/>
        <w:spacing w:line="240" w:lineRule="auto"/>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i/>
          <w:iCs/>
          <w:szCs w:val="17"/>
        </w:rPr>
        <w:t xml:space="preserve"> </w:t>
      </w:r>
      <w:r w:rsidR="00315997" w:rsidRPr="006A612F">
        <w:rPr>
          <w:szCs w:val="17"/>
        </w:rPr>
        <w:t>at 689.</w:t>
      </w:r>
    </w:p>
  </w:footnote>
  <w:footnote w:id="264">
    <w:p w14:paraId="77A65FEE" w14:textId="3DF7C12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The defendants</w:t>
      </w:r>
      <w:r w:rsidRPr="006A612F">
        <w:rPr>
          <w:szCs w:val="17"/>
        </w:rPr>
        <w:t>’</w:t>
      </w:r>
      <w:r w:rsidR="00315997" w:rsidRPr="006A612F">
        <w:rPr>
          <w:szCs w:val="17"/>
        </w:rPr>
        <w:t xml:space="preserve"> argument was simply that the plaintiff had not shown an injury caused by an instrumentality under one of the defendant</w:t>
      </w:r>
      <w:r w:rsidRPr="006A612F">
        <w:rPr>
          <w:szCs w:val="17"/>
        </w:rPr>
        <w:t>’</w:t>
      </w:r>
      <w:r w:rsidR="00315997" w:rsidRPr="006A612F">
        <w:rPr>
          <w:szCs w:val="17"/>
        </w:rPr>
        <w:t>s control because he had not shown which of the several instrumentalities that he came in contact with while in the hospital had caused the injury, and he had not shown that any one defendant or his servants had exclusive control over any particular instrumentality. The defendants asserted that some of them were not employees of the other defendants, that some did not stand in any permanent relationship from which liability in tort would follow, and that in view of the nature of the injury, the number of defendants, and the different functions performed by each, they could not all be liable for the wrong, if any.</w:t>
      </w:r>
    </w:p>
  </w:footnote>
  <w:footnote w:id="265">
    <w:p w14:paraId="44BB2472" w14:textId="62E4BC82"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r w:rsidR="00315997" w:rsidRPr="006A612F">
        <w:rPr>
          <w:szCs w:val="17"/>
        </w:rPr>
        <w:t xml:space="preserve"> at 691.</w:t>
      </w:r>
    </w:p>
  </w:footnote>
  <w:footnote w:id="266">
    <w:p w14:paraId="5A721456" w14:textId="1C4A8C78"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 xml:space="preserve">See </w:t>
      </w:r>
      <w:r w:rsidR="00315997" w:rsidRPr="006A612F">
        <w:rPr>
          <w:szCs w:val="17"/>
        </w:rPr>
        <w:t>Harris v. Cleveland, 294 S.W.2d 235, 242 (Tex. App. 1956) (</w:t>
      </w:r>
      <w:r w:rsidRPr="006A612F">
        <w:rPr>
          <w:szCs w:val="17"/>
        </w:rPr>
        <w:t>“</w:t>
      </w:r>
      <w:r w:rsidR="00315997" w:rsidRPr="006A612F">
        <w:rPr>
          <w:szCs w:val="17"/>
          <w:shd w:val="clear" w:color="auto" w:fill="FFFFFF"/>
        </w:rPr>
        <w:t>In </w:t>
      </w:r>
      <w:r w:rsidR="00315997" w:rsidRPr="006A612F">
        <w:rPr>
          <w:i/>
          <w:szCs w:val="17"/>
          <w:shd w:val="clear" w:color="auto" w:fill="FFFFFF"/>
        </w:rPr>
        <w:t>Ybarra v. Spangard</w:t>
      </w:r>
      <w:r w:rsidR="00315997" w:rsidRPr="006A612F">
        <w:rPr>
          <w:szCs w:val="17"/>
          <w:shd w:val="clear" w:color="auto" w:fill="FFFFFF"/>
        </w:rPr>
        <w:t>, the court applied the doctrine</w:t>
      </w:r>
      <w:r w:rsidR="00315997" w:rsidRPr="006A612F">
        <w:rPr>
          <w:szCs w:val="17"/>
        </w:rPr>
        <w:t xml:space="preserve"> </w:t>
      </w:r>
      <w:r w:rsidR="00315997" w:rsidRPr="006A612F">
        <w:rPr>
          <w:szCs w:val="17"/>
          <w:shd w:val="clear" w:color="auto" w:fill="FFFFFF"/>
        </w:rPr>
        <w:t>of </w:t>
      </w:r>
      <w:r w:rsidR="00315997" w:rsidRPr="006A612F">
        <w:rPr>
          <w:iCs/>
          <w:szCs w:val="17"/>
          <w:shd w:val="clear" w:color="auto" w:fill="FFFFFF"/>
        </w:rPr>
        <w:t>res ipsa loquitur</w:t>
      </w:r>
      <w:r w:rsidR="00315997" w:rsidRPr="006A612F">
        <w:rPr>
          <w:szCs w:val="17"/>
          <w:shd w:val="clear" w:color="auto" w:fill="FFFFFF"/>
        </w:rPr>
        <w:t xml:space="preserve"> to establish prima facie joint liability on the part of all doctors, nurses, attendants, etc., having contact with a patient undergoing operative procedure, who sustained a traumatic injury while under </w:t>
      </w:r>
      <w:r w:rsidR="00315997" w:rsidRPr="006A612F">
        <w:rPr>
          <w:szCs w:val="17"/>
        </w:rPr>
        <w:t>anesthesia.</w:t>
      </w:r>
      <w:r w:rsidRPr="006A612F">
        <w:rPr>
          <w:szCs w:val="17"/>
          <w:shd w:val="clear" w:color="auto" w:fill="FFFFFF"/>
        </w:rPr>
        <w:t>”</w:t>
      </w:r>
      <w:r w:rsidR="00315997" w:rsidRPr="006A612F">
        <w:rPr>
          <w:szCs w:val="17"/>
          <w:shd w:val="clear" w:color="auto" w:fill="FFFFFF"/>
        </w:rPr>
        <w:t>).</w:t>
      </w:r>
    </w:p>
  </w:footnote>
  <w:footnote w:id="267">
    <w:p w14:paraId="658308CC" w14:textId="40A284C3"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Barrett v. Emanuel Hosp., 669 P.2d 835, 839 (Or. Ct. App. 1983) (stating that the Oregon Supreme Court prefers to use a res ipsa loquitur</w:t>
      </w:r>
      <w:r w:rsidR="00315997" w:rsidRPr="006A612F">
        <w:rPr>
          <w:i/>
          <w:iCs/>
          <w:szCs w:val="17"/>
        </w:rPr>
        <w:t xml:space="preserve"> </w:t>
      </w:r>
      <w:r w:rsidR="00315997" w:rsidRPr="006A612F">
        <w:rPr>
          <w:szCs w:val="17"/>
        </w:rPr>
        <w:t xml:space="preserve">inference of negligence only when the plaintiff can show that the injury was probably caused by some negligent conduct of a particular defendant and rejecting the theory in </w:t>
      </w:r>
      <w:r w:rsidR="00315997" w:rsidRPr="006A612F">
        <w:rPr>
          <w:i/>
          <w:iCs/>
          <w:szCs w:val="17"/>
        </w:rPr>
        <w:t xml:space="preserve">Ybarra </w:t>
      </w:r>
      <w:r w:rsidR="00315997" w:rsidRPr="006A612F">
        <w:rPr>
          <w:szCs w:val="17"/>
        </w:rPr>
        <w:t>that negligent conduct can be presumed completely inferentially).</w:t>
      </w:r>
    </w:p>
  </w:footnote>
  <w:footnote w:id="268">
    <w:p w14:paraId="6EF566FA" w14:textId="2C1DA2FE" w:rsidR="00315997" w:rsidRPr="006A612F" w:rsidRDefault="00BF278E" w:rsidP="00AA6ED0">
      <w:pPr>
        <w:pStyle w:val="FootNote"/>
        <w:spacing w:line="240" w:lineRule="auto"/>
        <w:rPr>
          <w:szCs w:val="17"/>
        </w:rPr>
      </w:pPr>
      <w:r w:rsidRPr="006A612F">
        <w:rPr>
          <w:smallCaps/>
          <w:szCs w:val="17"/>
        </w:rPr>
        <w:fldChar w:fldCharType="begin"/>
      </w:r>
      <w:r w:rsidRPr="006A612F">
        <w:rPr>
          <w:smallCaps/>
          <w:szCs w:val="17"/>
        </w:rPr>
        <w:instrText xml:space="preserve"> ADVANCE \r12 \* MERGEFORMAT </w:instrText>
      </w:r>
      <w:r w:rsidRPr="006A612F">
        <w:rPr>
          <w:smallCaps/>
          <w:szCs w:val="17"/>
        </w:rPr>
        <w:fldChar w:fldCharType="end"/>
      </w:r>
      <w:r w:rsidR="00315997" w:rsidRPr="00732F34">
        <w:rPr>
          <w:rStyle w:val="NoterefInNote"/>
        </w:rPr>
        <w:footnoteRef/>
      </w:r>
      <w:r w:rsidRPr="00732F34">
        <w:rPr>
          <w:smallCaps/>
          <w:szCs w:val="17"/>
        </w:rPr>
        <w:t>.</w:t>
      </w:r>
      <w:r w:rsidRPr="006A612F">
        <w:rPr>
          <w:smallCaps/>
          <w:szCs w:val="17"/>
        </w:rPr>
        <w:fldChar w:fldCharType="begin"/>
      </w:r>
      <w:r w:rsidRPr="006A612F">
        <w:rPr>
          <w:smallCaps/>
          <w:szCs w:val="17"/>
        </w:rPr>
        <w:instrText xml:space="preserve"> ADVANCE \r4 \* MERGEFORMAT </w:instrText>
      </w:r>
      <w:r w:rsidRPr="006A612F">
        <w:rPr>
          <w:smallCaps/>
          <w:szCs w:val="17"/>
        </w:rPr>
        <w:fldChar w:fldCharType="end"/>
      </w:r>
      <w:r w:rsidR="00315997" w:rsidRPr="006A612F">
        <w:rPr>
          <w:smallCaps/>
          <w:szCs w:val="17"/>
        </w:rPr>
        <w:t>Dan B. Dobbs, Paul T. Hayden &amp; Ellen M. Bublick, The Law of Torts</w:t>
      </w:r>
      <w:r w:rsidR="00315997" w:rsidRPr="006A612F">
        <w:rPr>
          <w:szCs w:val="17"/>
        </w:rPr>
        <w:t xml:space="preserve"> § 174 (2d ed. 2000).</w:t>
      </w:r>
    </w:p>
  </w:footnote>
  <w:footnote w:id="269">
    <w:p w14:paraId="577C8219" w14:textId="59CB7616"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Bard v. Brown County, No. 1:15-CV-643, 2019 WL 590357, at *15 (S.D. Ohio Feb. 13, 2019) (</w:t>
      </w:r>
      <w:r w:rsidRPr="006A612F">
        <w:rPr>
          <w:szCs w:val="17"/>
        </w:rPr>
        <w:t>“</w:t>
      </w:r>
      <w:r w:rsidR="00315997" w:rsidRPr="006A612F">
        <w:rPr>
          <w:szCs w:val="17"/>
          <w:shd w:val="clear" w:color="auto" w:fill="FFFFFF"/>
        </w:rPr>
        <w:t>[A] </w:t>
      </w:r>
      <w:r w:rsidR="00315997" w:rsidRPr="006A612F">
        <w:rPr>
          <w:i/>
          <w:szCs w:val="17"/>
          <w:shd w:val="clear" w:color="auto" w:fill="FFFFFF"/>
        </w:rPr>
        <w:t>res</w:t>
      </w:r>
      <w:r w:rsidR="00315997" w:rsidRPr="006A612F">
        <w:rPr>
          <w:i/>
          <w:szCs w:val="17"/>
        </w:rPr>
        <w:t> </w:t>
      </w:r>
      <w:r w:rsidR="00315997" w:rsidRPr="006A612F">
        <w:rPr>
          <w:i/>
          <w:szCs w:val="17"/>
          <w:shd w:val="clear" w:color="auto" w:fill="FFFFFF"/>
        </w:rPr>
        <w:t>ipsa</w:t>
      </w:r>
      <w:r w:rsidR="00315997" w:rsidRPr="006A612F">
        <w:rPr>
          <w:i/>
          <w:szCs w:val="17"/>
        </w:rPr>
        <w:t> </w:t>
      </w:r>
      <w:r w:rsidR="00315997" w:rsidRPr="006A612F">
        <w:rPr>
          <w:i/>
          <w:szCs w:val="17"/>
          <w:shd w:val="clear" w:color="auto" w:fill="FFFFFF"/>
        </w:rPr>
        <w:t>loquitur</w:t>
      </w:r>
      <w:r w:rsidR="00315997" w:rsidRPr="006A612F">
        <w:rPr>
          <w:szCs w:val="17"/>
          <w:shd w:val="clear" w:color="auto" w:fill="FFFFFF"/>
        </w:rPr>
        <w:t>-type theory is not a basis for imposing liability under § 1983.</w:t>
      </w:r>
      <w:r w:rsidRPr="006A612F">
        <w:rPr>
          <w:szCs w:val="17"/>
          <w:shd w:val="clear" w:color="auto" w:fill="FFFFFF"/>
        </w:rPr>
        <w:t>”</w:t>
      </w:r>
      <w:r w:rsidR="00315997" w:rsidRPr="006A612F">
        <w:rPr>
          <w:szCs w:val="17"/>
          <w:shd w:val="clear" w:color="auto" w:fill="FFFFFF"/>
        </w:rPr>
        <w:t>).</w:t>
      </w:r>
    </w:p>
  </w:footnote>
  <w:footnote w:id="270">
    <w:p w14:paraId="5E97EDE5" w14:textId="306E7F70"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Clark–Murphy v. Foreback</w:t>
      </w:r>
      <w:r w:rsidR="00315997" w:rsidRPr="006A612F">
        <w:rPr>
          <w:i/>
          <w:szCs w:val="17"/>
        </w:rPr>
        <w:t>,</w:t>
      </w:r>
      <w:r w:rsidR="00315997" w:rsidRPr="006A612F">
        <w:rPr>
          <w:szCs w:val="17"/>
          <w:shd w:val="clear" w:color="auto" w:fill="FFFFFF"/>
        </w:rPr>
        <w:t xml:space="preserve"> 439 F.3d 280, 286 (6th Cir. 2006) (finding the res ipsa loquitur rationale insufficient to establish deliberate indifference); </w:t>
      </w:r>
      <w:r w:rsidR="00315997" w:rsidRPr="006A612F">
        <w:rPr>
          <w:szCs w:val="17"/>
        </w:rPr>
        <w:t xml:space="preserve">English v. Murphy, </w:t>
      </w:r>
      <w:r w:rsidR="000B1D04" w:rsidRPr="006A612F">
        <w:rPr>
          <w:szCs w:val="17"/>
        </w:rPr>
        <w:t xml:space="preserve">No. </w:t>
      </w:r>
      <w:r w:rsidR="00315997" w:rsidRPr="006A612F">
        <w:rPr>
          <w:szCs w:val="17"/>
        </w:rPr>
        <w:t>1:09</w:t>
      </w:r>
      <w:r w:rsidR="000B1D04" w:rsidRPr="006A612F">
        <w:rPr>
          <w:szCs w:val="17"/>
        </w:rPr>
        <w:t>-</w:t>
      </w:r>
      <w:r w:rsidR="00315997" w:rsidRPr="006A612F">
        <w:rPr>
          <w:szCs w:val="17"/>
        </w:rPr>
        <w:t>CV</w:t>
      </w:r>
      <w:r w:rsidR="000B1D04" w:rsidRPr="006A612F">
        <w:rPr>
          <w:szCs w:val="17"/>
        </w:rPr>
        <w:t>-</w:t>
      </w:r>
      <w:r w:rsidR="00315997" w:rsidRPr="006A612F">
        <w:rPr>
          <w:szCs w:val="17"/>
        </w:rPr>
        <w:t xml:space="preserve">866, 2013 WL 1465321, at *5 (M.D.N.C. Apr. 11, 2013) (same); Hunt </w:t>
      </w:r>
      <w:r w:rsidR="00315997" w:rsidRPr="006A612F">
        <w:rPr>
          <w:i/>
          <w:iCs/>
          <w:szCs w:val="17"/>
        </w:rPr>
        <w:t>ex rel.</w:t>
      </w:r>
      <w:r w:rsidR="00315997" w:rsidRPr="006A612F">
        <w:rPr>
          <w:szCs w:val="17"/>
        </w:rPr>
        <w:t xml:space="preserve"> Chiovari v. Dart</w:t>
      </w:r>
      <w:r w:rsidR="00315997" w:rsidRPr="006A612F">
        <w:rPr>
          <w:i/>
          <w:szCs w:val="17"/>
        </w:rPr>
        <w:t>,</w:t>
      </w:r>
      <w:r w:rsidR="00315997" w:rsidRPr="006A612F">
        <w:rPr>
          <w:szCs w:val="17"/>
          <w:shd w:val="clear" w:color="auto" w:fill="FFFFFF"/>
        </w:rPr>
        <w:t> 754 F. Supp. 2d 962, 977 (N.D. Ill. 2010) (</w:t>
      </w:r>
      <w:r w:rsidRPr="006A612F">
        <w:rPr>
          <w:szCs w:val="17"/>
          <w:shd w:val="clear" w:color="auto" w:fill="FFFFFF"/>
        </w:rPr>
        <w:t>“</w:t>
      </w:r>
      <w:r w:rsidR="00315997" w:rsidRPr="006A612F">
        <w:rPr>
          <w:szCs w:val="17"/>
          <w:shd w:val="clear" w:color="auto" w:fill="FFFFFF"/>
        </w:rPr>
        <w:t>[T]he [</w:t>
      </w:r>
      <w:r w:rsidR="00315997" w:rsidRPr="006A612F">
        <w:rPr>
          <w:iCs/>
          <w:szCs w:val="17"/>
          <w:shd w:val="clear" w:color="auto" w:fill="FFFFFF"/>
        </w:rPr>
        <w:t>res</w:t>
      </w:r>
      <w:r w:rsidR="00315997" w:rsidRPr="006A612F">
        <w:rPr>
          <w:iCs/>
          <w:szCs w:val="17"/>
        </w:rPr>
        <w:t> </w:t>
      </w:r>
      <w:r w:rsidR="00315997" w:rsidRPr="006A612F">
        <w:rPr>
          <w:iCs/>
          <w:szCs w:val="17"/>
          <w:shd w:val="clear" w:color="auto" w:fill="FFFFFF"/>
        </w:rPr>
        <w:t>ipsa</w:t>
      </w:r>
      <w:r w:rsidR="00315997" w:rsidRPr="006A612F">
        <w:rPr>
          <w:iCs/>
          <w:szCs w:val="17"/>
        </w:rPr>
        <w:t> </w:t>
      </w:r>
      <w:r w:rsidR="00315997" w:rsidRPr="006A612F">
        <w:rPr>
          <w:iCs/>
          <w:szCs w:val="17"/>
          <w:shd w:val="clear" w:color="auto" w:fill="FFFFFF"/>
        </w:rPr>
        <w:t>loquitur</w:t>
      </w:r>
      <w:r w:rsidR="00315997" w:rsidRPr="006A612F">
        <w:rPr>
          <w:szCs w:val="17"/>
          <w:shd w:val="clear" w:color="auto" w:fill="FFFFFF"/>
        </w:rPr>
        <w:t xml:space="preserve">] doctrine is confined to negligence cases </w:t>
      </w:r>
      <w:r w:rsidRPr="006A612F">
        <w:rPr>
          <w:szCs w:val="17"/>
          <w:shd w:val="clear" w:color="auto" w:fill="FFFFFF"/>
        </w:rPr>
        <w:t>. . .</w:t>
      </w:r>
      <w:r w:rsidR="00315997" w:rsidRPr="006A612F">
        <w:rPr>
          <w:szCs w:val="17"/>
          <w:shd w:val="clear" w:color="auto" w:fill="FFFFFF"/>
        </w:rPr>
        <w:t xml:space="preserve"> and this is a constitutional tort case in which the plaintiff must prove intent.</w:t>
      </w:r>
      <w:r w:rsidRPr="006A612F">
        <w:rPr>
          <w:szCs w:val="17"/>
          <w:shd w:val="clear" w:color="auto" w:fill="FFFFFF"/>
        </w:rPr>
        <w:t>”</w:t>
      </w:r>
      <w:r w:rsidR="00315997" w:rsidRPr="006A612F">
        <w:rPr>
          <w:szCs w:val="17"/>
          <w:shd w:val="clear" w:color="auto" w:fill="FFFFFF"/>
        </w:rPr>
        <w:t xml:space="preserve">); </w:t>
      </w:r>
      <w:r w:rsidR="00315997" w:rsidRPr="006A612F">
        <w:rPr>
          <w:szCs w:val="17"/>
        </w:rPr>
        <w:t>Harvey v. City of South Lake Tahoe, No. 2:10-CV-1653-KJM-EFB PS, 2013 WL 4543965, at *8 (E.D. Cal. Aug. 27, 2013) (</w:t>
      </w:r>
      <w:r w:rsidRPr="006A612F">
        <w:rPr>
          <w:szCs w:val="17"/>
        </w:rPr>
        <w:t>“</w:t>
      </w:r>
      <w:r w:rsidR="00315997" w:rsidRPr="006A612F">
        <w:rPr>
          <w:szCs w:val="17"/>
          <w:shd w:val="clear" w:color="auto" w:fill="FFFFFF"/>
        </w:rPr>
        <w:t>[T]he doctrine of </w:t>
      </w:r>
      <w:r w:rsidR="00315997" w:rsidRPr="006A612F">
        <w:rPr>
          <w:i/>
          <w:szCs w:val="17"/>
          <w:shd w:val="clear" w:color="auto" w:fill="FFFFFF"/>
        </w:rPr>
        <w:t>res</w:t>
      </w:r>
      <w:r w:rsidR="00315997" w:rsidRPr="006A612F">
        <w:rPr>
          <w:i/>
          <w:szCs w:val="17"/>
        </w:rPr>
        <w:t> </w:t>
      </w:r>
      <w:r w:rsidR="00315997" w:rsidRPr="006A612F">
        <w:rPr>
          <w:i/>
          <w:szCs w:val="17"/>
          <w:shd w:val="clear" w:color="auto" w:fill="FFFFFF"/>
        </w:rPr>
        <w:t>ipsa</w:t>
      </w:r>
      <w:r w:rsidR="00315997" w:rsidRPr="006A612F">
        <w:rPr>
          <w:i/>
          <w:szCs w:val="17"/>
        </w:rPr>
        <w:t> </w:t>
      </w:r>
      <w:r w:rsidR="00315997" w:rsidRPr="006A612F">
        <w:rPr>
          <w:i/>
          <w:szCs w:val="17"/>
          <w:shd w:val="clear" w:color="auto" w:fill="FFFFFF"/>
        </w:rPr>
        <w:t>loquitur</w:t>
      </w:r>
      <w:r w:rsidR="00315997" w:rsidRPr="006A612F">
        <w:rPr>
          <w:szCs w:val="17"/>
          <w:shd w:val="clear" w:color="auto" w:fill="FFFFFF"/>
        </w:rPr>
        <w:t xml:space="preserve"> cannot be used to prove </w:t>
      </w:r>
      <w:r w:rsidRPr="006A612F">
        <w:rPr>
          <w:szCs w:val="17"/>
          <w:shd w:val="clear" w:color="auto" w:fill="FFFFFF"/>
        </w:rPr>
        <w:t>‘</w:t>
      </w:r>
      <w:r w:rsidR="00315997" w:rsidRPr="006A612F">
        <w:rPr>
          <w:szCs w:val="17"/>
          <w:shd w:val="clear" w:color="auto" w:fill="FFFFFF"/>
        </w:rPr>
        <w:t>deliberate indifference.</w:t>
      </w:r>
      <w:r w:rsidRPr="006A612F">
        <w:rPr>
          <w:szCs w:val="17"/>
          <w:shd w:val="clear" w:color="auto" w:fill="FFFFFF"/>
        </w:rPr>
        <w:t>’”</w:t>
      </w:r>
      <w:r w:rsidR="00315997" w:rsidRPr="006A612F">
        <w:rPr>
          <w:szCs w:val="17"/>
          <w:shd w:val="clear" w:color="auto" w:fill="FFFFFF"/>
        </w:rPr>
        <w:t>).</w:t>
      </w:r>
    </w:p>
  </w:footnote>
  <w:footnote w:id="271">
    <w:p w14:paraId="058E4ADA" w14:textId="2D1F0F68"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szCs w:val="17"/>
        </w:rPr>
        <w:t xml:space="preserve">, Colbert v. City of Chicago, 851 F.3d 649, 659 (7th Cir. 2017) (holding that a plaintiff suing only </w:t>
      </w:r>
      <w:r w:rsidRPr="006A612F">
        <w:rPr>
          <w:szCs w:val="17"/>
        </w:rPr>
        <w:t>“</w:t>
      </w:r>
      <w:r w:rsidR="00315997" w:rsidRPr="006A612F">
        <w:rPr>
          <w:szCs w:val="17"/>
        </w:rPr>
        <w:t>four of the ten</w:t>
      </w:r>
      <w:r w:rsidRPr="006A612F">
        <w:rPr>
          <w:szCs w:val="17"/>
        </w:rPr>
        <w:t>”</w:t>
      </w:r>
      <w:r w:rsidR="00315997" w:rsidRPr="006A612F">
        <w:rPr>
          <w:szCs w:val="17"/>
        </w:rPr>
        <w:t xml:space="preserve"> suspect officers could not </w:t>
      </w:r>
      <w:r w:rsidRPr="006A612F">
        <w:rPr>
          <w:szCs w:val="17"/>
        </w:rPr>
        <w:t>“</w:t>
      </w:r>
      <w:r w:rsidR="00315997" w:rsidRPr="006A612F">
        <w:rPr>
          <w:szCs w:val="17"/>
        </w:rPr>
        <w:t>satisfy § 1983</w:t>
      </w:r>
      <w:r w:rsidRPr="006A612F">
        <w:rPr>
          <w:szCs w:val="17"/>
        </w:rPr>
        <w:t>’</w:t>
      </w:r>
      <w:r w:rsidR="00315997" w:rsidRPr="006A612F">
        <w:rPr>
          <w:szCs w:val="17"/>
        </w:rPr>
        <w:t>s individual-responsibility requirement</w:t>
      </w:r>
      <w:r w:rsidRPr="006A612F">
        <w:rPr>
          <w:szCs w:val="17"/>
        </w:rPr>
        <w:t>”</w:t>
      </w:r>
      <w:r w:rsidR="00315997" w:rsidRPr="006A612F">
        <w:rPr>
          <w:szCs w:val="17"/>
        </w:rPr>
        <w:t xml:space="preserve">). In </w:t>
      </w:r>
      <w:r w:rsidR="00315997" w:rsidRPr="006A612F">
        <w:rPr>
          <w:i/>
          <w:szCs w:val="17"/>
        </w:rPr>
        <w:t>Colbert</w:t>
      </w:r>
      <w:r w:rsidR="00315997" w:rsidRPr="006A612F">
        <w:rPr>
          <w:szCs w:val="17"/>
        </w:rPr>
        <w:t>, the court rejected plaintiff</w:t>
      </w:r>
      <w:r w:rsidRPr="006A612F">
        <w:rPr>
          <w:szCs w:val="17"/>
        </w:rPr>
        <w:t>’</w:t>
      </w:r>
      <w:r w:rsidR="00315997" w:rsidRPr="006A612F">
        <w:rPr>
          <w:szCs w:val="17"/>
        </w:rPr>
        <w:t xml:space="preserve">s request to apply </w:t>
      </w:r>
      <w:r w:rsidR="00315997" w:rsidRPr="006A612F">
        <w:rPr>
          <w:iCs/>
          <w:szCs w:val="17"/>
        </w:rPr>
        <w:t>res ipsa loquitur</w:t>
      </w:r>
      <w:r w:rsidR="00315997" w:rsidRPr="006A612F">
        <w:rPr>
          <w:szCs w:val="17"/>
        </w:rPr>
        <w:t xml:space="preserve"> principles and offered the following rationale:</w:t>
      </w:r>
    </w:p>
    <w:p w14:paraId="3EDA4CCF" w14:textId="52E3E9A1" w:rsidR="00315997" w:rsidRPr="006A612F" w:rsidRDefault="00315997" w:rsidP="00AA6ED0">
      <w:pPr>
        <w:pStyle w:val="1StQuoteFN"/>
        <w:spacing w:line="240" w:lineRule="auto"/>
        <w:rPr>
          <w:szCs w:val="17"/>
        </w:rPr>
      </w:pPr>
      <w:r w:rsidRPr="006A612F">
        <w:rPr>
          <w:szCs w:val="17"/>
          <w:shd w:val="clear" w:color="auto" w:fill="FFFFFF"/>
        </w:rPr>
        <w:t xml:space="preserve">We have previously observed that § 1983 claims and accompanying </w:t>
      </w:r>
      <w:r w:rsidR="00BF278E" w:rsidRPr="006A612F">
        <w:rPr>
          <w:szCs w:val="17"/>
          <w:shd w:val="clear" w:color="auto" w:fill="FFFFFF"/>
        </w:rPr>
        <w:t>“</w:t>
      </w:r>
      <w:r w:rsidRPr="006A612F">
        <w:rPr>
          <w:szCs w:val="17"/>
          <w:shd w:val="clear" w:color="auto" w:fill="FFFFFF"/>
        </w:rPr>
        <w:t>burden-shift</w:t>
      </w:r>
      <w:r w:rsidR="00BF278E" w:rsidRPr="006A612F">
        <w:rPr>
          <w:szCs w:val="17"/>
          <w:shd w:val="clear" w:color="auto" w:fill="FFFFFF"/>
        </w:rPr>
        <w:t>”</w:t>
      </w:r>
      <w:r w:rsidRPr="006A612F">
        <w:rPr>
          <w:szCs w:val="17"/>
          <w:shd w:val="clear" w:color="auto" w:fill="FFFFFF"/>
        </w:rPr>
        <w:t xml:space="preserve"> arguments like those we now confront all sound in </w:t>
      </w:r>
      <w:r w:rsidRPr="006A612F">
        <w:rPr>
          <w:iCs/>
          <w:szCs w:val="17"/>
          <w:shd w:val="clear" w:color="auto" w:fill="FFFFFF"/>
        </w:rPr>
        <w:t>res ipsa loquitur</w:t>
      </w:r>
      <w:r w:rsidRPr="006A612F">
        <w:rPr>
          <w:szCs w:val="17"/>
          <w:shd w:val="clear" w:color="auto" w:fill="FFFFFF"/>
        </w:rPr>
        <w:t xml:space="preserve"> tort liability. To succeed on this theory of liability in Illinois, plaintiffs must join </w:t>
      </w:r>
      <w:r w:rsidR="00BF278E" w:rsidRPr="006A612F">
        <w:rPr>
          <w:szCs w:val="17"/>
          <w:shd w:val="clear" w:color="auto" w:fill="FFFFFF"/>
        </w:rPr>
        <w:t>“</w:t>
      </w:r>
      <w:r w:rsidRPr="006A612F">
        <w:rPr>
          <w:szCs w:val="17"/>
          <w:shd w:val="clear" w:color="auto" w:fill="FFFFFF"/>
        </w:rPr>
        <w:t>all parties who could have been the cause of the plaintiff</w:t>
      </w:r>
      <w:r w:rsidR="00BF278E" w:rsidRPr="006A612F">
        <w:rPr>
          <w:szCs w:val="17"/>
          <w:shd w:val="clear" w:color="auto" w:fill="FFFFFF"/>
        </w:rPr>
        <w:t>’</w:t>
      </w:r>
      <w:r w:rsidRPr="006A612F">
        <w:rPr>
          <w:szCs w:val="17"/>
          <w:shd w:val="clear" w:color="auto" w:fill="FFFFFF"/>
        </w:rPr>
        <w:t xml:space="preserve">s injuries </w:t>
      </w:r>
      <w:r w:rsidR="00BF278E" w:rsidRPr="006A612F">
        <w:rPr>
          <w:szCs w:val="17"/>
          <w:shd w:val="clear" w:color="auto" w:fill="FFFFFF"/>
        </w:rPr>
        <w:t>. . .</w:t>
      </w:r>
      <w:r w:rsidRPr="006A612F">
        <w:rPr>
          <w:szCs w:val="17"/>
          <w:shd w:val="clear" w:color="auto" w:fill="FFFFFF"/>
        </w:rPr>
        <w:t xml:space="preserve"> as defendants.</w:t>
      </w:r>
      <w:r w:rsidR="00BF278E" w:rsidRPr="006A612F">
        <w:rPr>
          <w:szCs w:val="17"/>
          <w:shd w:val="clear" w:color="auto" w:fill="FFFFFF"/>
        </w:rPr>
        <w:t>”</w:t>
      </w:r>
      <w:r w:rsidRPr="006A612F">
        <w:rPr>
          <w:szCs w:val="17"/>
          <w:shd w:val="clear" w:color="auto" w:fill="FFFFFF"/>
        </w:rPr>
        <w:t xml:space="preserve"> Doing so ensures that </w:t>
      </w:r>
      <w:r w:rsidR="00BF278E" w:rsidRPr="006A612F">
        <w:rPr>
          <w:szCs w:val="17"/>
          <w:shd w:val="clear" w:color="auto" w:fill="FFFFFF"/>
        </w:rPr>
        <w:t>“</w:t>
      </w:r>
      <w:r w:rsidRPr="006A612F">
        <w:rPr>
          <w:szCs w:val="17"/>
          <w:shd w:val="clear" w:color="auto" w:fill="FFFFFF"/>
        </w:rPr>
        <w:t>liability will surely fall on the actual wrongdoer.</w:t>
      </w:r>
      <w:r w:rsidR="00BF278E" w:rsidRPr="006A612F">
        <w:rPr>
          <w:szCs w:val="17"/>
          <w:shd w:val="clear" w:color="auto" w:fill="FFFFFF"/>
        </w:rPr>
        <w:t>”</w:t>
      </w:r>
      <w:r w:rsidRPr="006A612F">
        <w:rPr>
          <w:szCs w:val="17"/>
          <w:shd w:val="clear" w:color="auto" w:fill="FFFFFF"/>
        </w:rPr>
        <w:t xml:space="preserve"> Otherwise, </w:t>
      </w:r>
      <w:r w:rsidR="00BF278E" w:rsidRPr="006A612F">
        <w:rPr>
          <w:szCs w:val="17"/>
          <w:shd w:val="clear" w:color="auto" w:fill="FFFFFF"/>
        </w:rPr>
        <w:t>“</w:t>
      </w:r>
      <w:r w:rsidRPr="006A612F">
        <w:rPr>
          <w:szCs w:val="17"/>
          <w:shd w:val="clear" w:color="auto" w:fill="FFFFFF"/>
        </w:rPr>
        <w:t>there is a real possibility that the defendant actually responsible for the injuries is not before the court.</w:t>
      </w:r>
      <w:r w:rsidR="00BF278E" w:rsidRPr="006A612F">
        <w:rPr>
          <w:szCs w:val="17"/>
          <w:shd w:val="clear" w:color="auto" w:fill="FFFFFF"/>
        </w:rPr>
        <w:t>”</w:t>
      </w:r>
      <w:r w:rsidRPr="006A612F">
        <w:rPr>
          <w:szCs w:val="17"/>
          <w:shd w:val="clear" w:color="auto" w:fill="FFFFFF"/>
        </w:rPr>
        <w:t> </w:t>
      </w:r>
    </w:p>
    <w:p w14:paraId="35D35236" w14:textId="4343233F" w:rsidR="00315997" w:rsidRPr="006A612F" w:rsidRDefault="00315997" w:rsidP="00AA6ED0">
      <w:pPr>
        <w:pStyle w:val="FootNote"/>
        <w:spacing w:line="240" w:lineRule="auto"/>
        <w:rPr>
          <w:szCs w:val="17"/>
        </w:rPr>
      </w:pPr>
      <w:r w:rsidRPr="0024777B">
        <w:rPr>
          <w:i/>
          <w:szCs w:val="17"/>
        </w:rPr>
        <w:t>Id.</w:t>
      </w:r>
      <w:r w:rsidRPr="006A612F">
        <w:rPr>
          <w:i/>
          <w:iCs/>
          <w:szCs w:val="17"/>
        </w:rPr>
        <w:t xml:space="preserve"> </w:t>
      </w:r>
      <w:r w:rsidRPr="006A612F">
        <w:rPr>
          <w:szCs w:val="17"/>
        </w:rPr>
        <w:t xml:space="preserve">(citations omitted) (quoting Smith v. Eli Lilly &amp; Co., 560 N.E.2d 324, 339–40 (Ill. 1990)). </w:t>
      </w:r>
      <w:r w:rsidRPr="006A612F">
        <w:rPr>
          <w:i/>
          <w:szCs w:val="17"/>
        </w:rPr>
        <w:t xml:space="preserve">See, </w:t>
      </w:r>
      <w:r w:rsidRPr="0024777B">
        <w:rPr>
          <w:i/>
          <w:szCs w:val="17"/>
        </w:rPr>
        <w:t>e.g.</w:t>
      </w:r>
      <w:r w:rsidRPr="006A612F">
        <w:rPr>
          <w:szCs w:val="17"/>
        </w:rPr>
        <w:t xml:space="preserve">, Priest v. Holbrook, No. 2:17-CV-133-RMP, 2020 WL 733884, at *6 (E.D. Wash. Feb. 13, 2020) (concluding that </w:t>
      </w:r>
      <w:r w:rsidR="00BF278E" w:rsidRPr="006A612F">
        <w:rPr>
          <w:szCs w:val="17"/>
        </w:rPr>
        <w:t>“</w:t>
      </w:r>
      <w:r w:rsidRPr="006A612F">
        <w:rPr>
          <w:szCs w:val="17"/>
          <w:shd w:val="clear" w:color="auto" w:fill="FFFFFF"/>
        </w:rPr>
        <w:t>[e]ven if it is appropriate to apply </w:t>
      </w:r>
      <w:r w:rsidRPr="006A612F">
        <w:rPr>
          <w:iCs/>
          <w:szCs w:val="17"/>
          <w:shd w:val="clear" w:color="auto" w:fill="FFFFFF"/>
        </w:rPr>
        <w:t>res ipsa loquitur</w:t>
      </w:r>
      <w:r w:rsidRPr="006A612F">
        <w:rPr>
          <w:szCs w:val="17"/>
          <w:shd w:val="clear" w:color="auto" w:fill="FFFFFF"/>
        </w:rPr>
        <w:t> to Section 1983 claims, uncontroverted facts on the record show that the named Defendants in this matter were not the only people who [could have deprived the plaintiff of his constitutional right]</w:t>
      </w:r>
      <w:r w:rsidR="00BF278E" w:rsidRPr="006A612F">
        <w:rPr>
          <w:szCs w:val="17"/>
          <w:shd w:val="clear" w:color="auto" w:fill="FFFFFF"/>
        </w:rPr>
        <w:t>”</w:t>
      </w:r>
      <w:r w:rsidRPr="006A612F">
        <w:rPr>
          <w:szCs w:val="17"/>
          <w:shd w:val="clear" w:color="auto" w:fill="FFFFFF"/>
        </w:rPr>
        <w:t>).</w:t>
      </w:r>
    </w:p>
  </w:footnote>
  <w:footnote w:id="272">
    <w:p w14:paraId="07059FD0" w14:textId="041F51B9"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Tillman v. Menard, Inc., No. 1:17</w:t>
      </w:r>
      <w:r w:rsidR="000B1D04" w:rsidRPr="006A612F">
        <w:rPr>
          <w:szCs w:val="17"/>
        </w:rPr>
        <w:t>-</w:t>
      </w:r>
      <w:r w:rsidR="00315997" w:rsidRPr="006A612F">
        <w:rPr>
          <w:szCs w:val="17"/>
        </w:rPr>
        <w:t>CV</w:t>
      </w:r>
      <w:r w:rsidR="000B1D04" w:rsidRPr="006A612F">
        <w:rPr>
          <w:szCs w:val="17"/>
        </w:rPr>
        <w:t>-</w:t>
      </w:r>
      <w:r w:rsidR="00315997" w:rsidRPr="006A612F">
        <w:rPr>
          <w:szCs w:val="17"/>
        </w:rPr>
        <w:t>61</w:t>
      </w:r>
      <w:r w:rsidR="000B1D04" w:rsidRPr="006A612F">
        <w:rPr>
          <w:szCs w:val="17"/>
        </w:rPr>
        <w:t>-</w:t>
      </w:r>
      <w:r w:rsidR="00315997" w:rsidRPr="006A612F">
        <w:rPr>
          <w:szCs w:val="17"/>
        </w:rPr>
        <w:t>ACL, 2018 WL 5786270, at *4 (E.D. Mo. Nov. 5, 2018).</w:t>
      </w:r>
    </w:p>
  </w:footnote>
  <w:footnote w:id="273">
    <w:p w14:paraId="7DD098E5" w14:textId="60442320" w:rsidR="00315997" w:rsidRPr="006A612F" w:rsidRDefault="00BF278E" w:rsidP="00AA6ED0">
      <w:pPr>
        <w:pStyle w:val="FootNote"/>
        <w:spacing w:line="240" w:lineRule="auto"/>
        <w:rPr>
          <w:szCs w:val="17"/>
        </w:rPr>
      </w:pPr>
      <w:r w:rsidRPr="006A612F">
        <w:rPr>
          <w:i/>
          <w:iCs/>
          <w:szCs w:val="17"/>
          <w:shd w:val="clear" w:color="auto" w:fill="FFFFFF"/>
        </w:rPr>
        <w:fldChar w:fldCharType="begin"/>
      </w:r>
      <w:r w:rsidRPr="006A612F">
        <w:rPr>
          <w:i/>
          <w:iCs/>
          <w:szCs w:val="17"/>
          <w:shd w:val="clear" w:color="auto" w:fill="FFFFFF"/>
        </w:rPr>
        <w:instrText xml:space="preserve"> ADVANCE \r12 \* MERGEFORMAT </w:instrText>
      </w:r>
      <w:r w:rsidRPr="006A612F">
        <w:rPr>
          <w:i/>
          <w:iCs/>
          <w:szCs w:val="17"/>
          <w:shd w:val="clear" w:color="auto" w:fill="FFFFFF"/>
        </w:rPr>
        <w:fldChar w:fldCharType="end"/>
      </w:r>
      <w:r w:rsidR="00315997" w:rsidRPr="00732F34">
        <w:rPr>
          <w:rStyle w:val="NoterefInNote"/>
        </w:rPr>
        <w:footnoteRef/>
      </w:r>
      <w:r w:rsidRPr="00732F34">
        <w:rPr>
          <w:szCs w:val="17"/>
          <w:shd w:val="clear" w:color="auto" w:fill="FFFFFF"/>
        </w:rPr>
        <w:t>.</w:t>
      </w:r>
      <w:r w:rsidRPr="006A612F">
        <w:rPr>
          <w:i/>
          <w:iCs/>
          <w:szCs w:val="17"/>
          <w:shd w:val="clear" w:color="auto" w:fill="FFFFFF"/>
        </w:rPr>
        <w:fldChar w:fldCharType="begin"/>
      </w:r>
      <w:r w:rsidRPr="006A612F">
        <w:rPr>
          <w:i/>
          <w:iCs/>
          <w:szCs w:val="17"/>
          <w:shd w:val="clear" w:color="auto" w:fill="FFFFFF"/>
        </w:rPr>
        <w:instrText xml:space="preserve"> ADVANCE \r4 \* MERGEFORMAT </w:instrText>
      </w:r>
      <w:r w:rsidRPr="006A612F">
        <w:rPr>
          <w:i/>
          <w:iCs/>
          <w:szCs w:val="17"/>
          <w:shd w:val="clear" w:color="auto" w:fill="FFFFFF"/>
        </w:rPr>
        <w:fldChar w:fldCharType="end"/>
      </w:r>
      <w:r w:rsidR="00315997" w:rsidRPr="006A612F">
        <w:rPr>
          <w:i/>
          <w:iCs/>
          <w:szCs w:val="17"/>
          <w:shd w:val="clear" w:color="auto" w:fill="FFFFFF"/>
        </w:rPr>
        <w:t xml:space="preserve">See </w:t>
      </w:r>
      <w:r w:rsidR="00315997" w:rsidRPr="006A612F">
        <w:rPr>
          <w:szCs w:val="17"/>
          <w:shd w:val="clear" w:color="auto" w:fill="FFFFFF"/>
        </w:rPr>
        <w:t xml:space="preserve">Jerista v. Murray, 883 A.2d 350, 360 (N.J. 2005) (discussing the </w:t>
      </w:r>
      <w:r w:rsidRPr="006A612F">
        <w:rPr>
          <w:szCs w:val="17"/>
          <w:shd w:val="clear" w:color="auto" w:fill="FFFFFF"/>
        </w:rPr>
        <w:t>“</w:t>
      </w:r>
      <w:r w:rsidR="00315997" w:rsidRPr="006A612F">
        <w:rPr>
          <w:szCs w:val="17"/>
          <w:shd w:val="clear" w:color="auto" w:fill="FFFFFF"/>
        </w:rPr>
        <w:t>strong incentive</w:t>
      </w:r>
      <w:r w:rsidRPr="006A612F">
        <w:rPr>
          <w:szCs w:val="17"/>
          <w:shd w:val="clear" w:color="auto" w:fill="FFFFFF"/>
        </w:rPr>
        <w:t>”</w:t>
      </w:r>
      <w:r w:rsidR="00315997" w:rsidRPr="006A612F">
        <w:rPr>
          <w:szCs w:val="17"/>
          <w:shd w:val="clear" w:color="auto" w:fill="FFFFFF"/>
        </w:rPr>
        <w:t xml:space="preserve"> of res ipsa loquitur on defendants to produce evidence that stops short of directly shifting the burden of proof to defendants).</w:t>
      </w:r>
    </w:p>
  </w:footnote>
  <w:footnote w:id="274">
    <w:p w14:paraId="46867B15" w14:textId="3CEB25F7"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Ybarra v. Spangard, 154 P.2d 687, 690 (Cal. 1944).</w:t>
      </w:r>
    </w:p>
  </w:footnote>
  <w:footnote w:id="275">
    <w:p w14:paraId="302CB211" w14:textId="341DF3D5"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24777B">
        <w:rPr>
          <w:i/>
          <w:szCs w:val="17"/>
        </w:rPr>
        <w:t>Id.</w:t>
      </w:r>
    </w:p>
  </w:footnote>
  <w:footnote w:id="276">
    <w:p w14:paraId="3DB7FD0F" w14:textId="7103F905"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Stone v. Courtyard Mgmt. Corp.</w:t>
      </w:r>
      <w:r w:rsidR="00315997" w:rsidRPr="006A612F">
        <w:rPr>
          <w:iCs/>
          <w:szCs w:val="17"/>
        </w:rPr>
        <w:t>,</w:t>
      </w:r>
      <w:r w:rsidR="00315997" w:rsidRPr="006A612F">
        <w:rPr>
          <w:iCs/>
          <w:szCs w:val="17"/>
          <w:shd w:val="clear" w:color="auto" w:fill="FFFFFF"/>
        </w:rPr>
        <w:t> </w:t>
      </w:r>
      <w:r w:rsidR="00315997" w:rsidRPr="006A612F">
        <w:rPr>
          <w:szCs w:val="17"/>
          <w:shd w:val="clear" w:color="auto" w:fill="FFFFFF"/>
        </w:rPr>
        <w:t>353 F.3d 155, 160 (2d Cir. 2003) (</w:t>
      </w:r>
      <w:r w:rsidRPr="006A612F">
        <w:rPr>
          <w:szCs w:val="17"/>
          <w:shd w:val="clear" w:color="auto" w:fill="FFFFFF"/>
        </w:rPr>
        <w:t>“</w:t>
      </w:r>
      <w:r w:rsidR="00315997" w:rsidRPr="006A612F">
        <w:rPr>
          <w:szCs w:val="17"/>
          <w:shd w:val="clear" w:color="auto" w:fill="FFFFFF"/>
        </w:rPr>
        <w:t>It is impossible for the plaintiff to say which of these two defendants was at fault in this case (if either), but that is precisely why New York law allows plaintiff to employ the </w:t>
      </w:r>
      <w:r w:rsidR="00315997" w:rsidRPr="006A612F">
        <w:rPr>
          <w:i/>
          <w:szCs w:val="17"/>
          <w:shd w:val="clear" w:color="auto" w:fill="FFFFFF"/>
        </w:rPr>
        <w:t>res</w:t>
      </w:r>
      <w:r w:rsidR="00315997" w:rsidRPr="006A612F">
        <w:rPr>
          <w:i/>
          <w:szCs w:val="17"/>
        </w:rPr>
        <w:t> </w:t>
      </w:r>
      <w:r w:rsidR="00315997" w:rsidRPr="006A612F">
        <w:rPr>
          <w:i/>
          <w:szCs w:val="17"/>
          <w:shd w:val="clear" w:color="auto" w:fill="FFFFFF"/>
        </w:rPr>
        <w:t>ipsa</w:t>
      </w:r>
      <w:r w:rsidR="00315997" w:rsidRPr="006A612F">
        <w:rPr>
          <w:i/>
          <w:szCs w:val="17"/>
        </w:rPr>
        <w:t> </w:t>
      </w:r>
      <w:r w:rsidR="00315997" w:rsidRPr="006A612F">
        <w:rPr>
          <w:i/>
          <w:szCs w:val="17"/>
          <w:shd w:val="clear" w:color="auto" w:fill="FFFFFF"/>
        </w:rPr>
        <w:t>loquitur</w:t>
      </w:r>
      <w:r w:rsidR="00315997" w:rsidRPr="006A612F">
        <w:rPr>
          <w:szCs w:val="17"/>
          <w:shd w:val="clear" w:color="auto" w:fill="FFFFFF"/>
        </w:rPr>
        <w:t> inference against each defendant and let them explain what happened.</w:t>
      </w:r>
      <w:r w:rsidRPr="006A612F">
        <w:rPr>
          <w:szCs w:val="17"/>
          <w:shd w:val="clear" w:color="auto" w:fill="FFFFFF"/>
        </w:rPr>
        <w:t>”</w:t>
      </w:r>
      <w:r w:rsidR="00315997" w:rsidRPr="006A612F">
        <w:rPr>
          <w:szCs w:val="17"/>
          <w:shd w:val="clear" w:color="auto" w:fill="FFFFFF"/>
        </w:rPr>
        <w:t>).</w:t>
      </w:r>
    </w:p>
  </w:footnote>
  <w:footnote w:id="277">
    <w:p w14:paraId="5673FBD8" w14:textId="1602AB2D" w:rsidR="00315997" w:rsidRPr="006A612F" w:rsidRDefault="00BF278E" w:rsidP="00AA6ED0">
      <w:pPr>
        <w:pStyle w:val="FootNote"/>
        <w:spacing w:line="240" w:lineRule="auto"/>
        <w:rPr>
          <w:szCs w:val="17"/>
        </w:rPr>
      </w:pPr>
      <w:r w:rsidRPr="006A612F">
        <w:rPr>
          <w:i/>
          <w:iCs/>
          <w:szCs w:val="17"/>
        </w:rPr>
        <w:fldChar w:fldCharType="begin"/>
      </w:r>
      <w:r w:rsidRPr="006A612F">
        <w:rPr>
          <w:i/>
          <w:iCs/>
          <w:szCs w:val="17"/>
        </w:rPr>
        <w:instrText xml:space="preserve"> ADVANCE \r12 \* MERGEFORMAT </w:instrText>
      </w:r>
      <w:r w:rsidRPr="006A612F">
        <w:rPr>
          <w:i/>
          <w:iCs/>
          <w:szCs w:val="17"/>
        </w:rPr>
        <w:fldChar w:fldCharType="end"/>
      </w:r>
      <w:r w:rsidR="00315997" w:rsidRPr="00732F34">
        <w:rPr>
          <w:rStyle w:val="NoterefInNote"/>
        </w:rPr>
        <w:footnoteRef/>
      </w:r>
      <w:r w:rsidRPr="00732F34">
        <w:rPr>
          <w:szCs w:val="17"/>
        </w:rPr>
        <w:t>.</w:t>
      </w:r>
      <w:r w:rsidRPr="006A612F">
        <w:rPr>
          <w:i/>
          <w:iCs/>
          <w:szCs w:val="17"/>
        </w:rPr>
        <w:fldChar w:fldCharType="begin"/>
      </w:r>
      <w:r w:rsidRPr="006A612F">
        <w:rPr>
          <w:i/>
          <w:iCs/>
          <w:szCs w:val="17"/>
        </w:rPr>
        <w:instrText xml:space="preserve"> ADVANCE \r4 \* MERGEFORMAT </w:instrText>
      </w:r>
      <w:r w:rsidRPr="006A612F">
        <w:rPr>
          <w:i/>
          <w:iCs/>
          <w:szCs w:val="17"/>
        </w:rPr>
        <w:fldChar w:fldCharType="end"/>
      </w:r>
      <w:r w:rsidR="00315997" w:rsidRPr="006A612F">
        <w:rPr>
          <w:i/>
          <w:iCs/>
          <w:szCs w:val="17"/>
        </w:rPr>
        <w:t>Jerista</w:t>
      </w:r>
      <w:r w:rsidR="00315997" w:rsidRPr="006A612F">
        <w:rPr>
          <w:szCs w:val="17"/>
        </w:rPr>
        <w:t>, 883 A.2d at 360.</w:t>
      </w:r>
    </w:p>
  </w:footnote>
  <w:footnote w:id="278">
    <w:p w14:paraId="3A916DAD" w14:textId="4F5EE0BB" w:rsidR="00315997" w:rsidRPr="006A612F" w:rsidRDefault="00BF278E" w:rsidP="00AA6ED0">
      <w:pPr>
        <w:pStyle w:val="FootNote"/>
        <w:spacing w:line="240" w:lineRule="auto"/>
        <w:rPr>
          <w:szCs w:val="17"/>
        </w:rPr>
      </w:pPr>
      <w:r w:rsidRPr="006A612F">
        <w:rPr>
          <w:szCs w:val="17"/>
        </w:rPr>
        <w:fldChar w:fldCharType="begin"/>
      </w:r>
      <w:r w:rsidRPr="006A612F">
        <w:rPr>
          <w:szCs w:val="17"/>
        </w:rPr>
        <w:instrText xml:space="preserve"> ADVANCE \r12 \* MERGEFORMAT </w:instrText>
      </w:r>
      <w:r w:rsidRPr="006A612F">
        <w:rPr>
          <w:szCs w:val="17"/>
        </w:rPr>
        <w:fldChar w:fldCharType="end"/>
      </w:r>
      <w:r w:rsidR="00315997" w:rsidRPr="00732F34">
        <w:rPr>
          <w:rStyle w:val="NoterefInNote"/>
        </w:rPr>
        <w:footnoteRef/>
      </w:r>
      <w:r w:rsidRPr="00732F34">
        <w:rPr>
          <w:szCs w:val="17"/>
        </w:rPr>
        <w:t>.</w:t>
      </w:r>
      <w:r w:rsidRPr="006A612F">
        <w:rPr>
          <w:szCs w:val="17"/>
        </w:rPr>
        <w:fldChar w:fldCharType="begin"/>
      </w:r>
      <w:r w:rsidRPr="006A612F">
        <w:rPr>
          <w:szCs w:val="17"/>
        </w:rPr>
        <w:instrText xml:space="preserve"> ADVANCE \r4 \* MERGEFORMAT </w:instrText>
      </w:r>
      <w:r w:rsidRPr="006A612F">
        <w:rPr>
          <w:szCs w:val="17"/>
        </w:rPr>
        <w:fldChar w:fldCharType="end"/>
      </w:r>
      <w:r w:rsidR="00315997" w:rsidRPr="006A612F">
        <w:rPr>
          <w:szCs w:val="17"/>
        </w:rPr>
        <w:t xml:space="preserve">Of course, ultimately, to prevail, the plaintiff would also have to prove that each of the officers acted under the color of law. This, however, is not usually an issue when officers are on duty. </w:t>
      </w:r>
      <w:r w:rsidR="00315997" w:rsidRPr="006A612F">
        <w:rPr>
          <w:i/>
          <w:iCs/>
          <w:szCs w:val="17"/>
        </w:rPr>
        <w:t>See</w:t>
      </w:r>
      <w:r w:rsidR="00315997" w:rsidRPr="006A612F">
        <w:rPr>
          <w:szCs w:val="17"/>
        </w:rPr>
        <w:t xml:space="preserve"> Teressa E. Ravenell &amp; Armando Brigandi, </w:t>
      </w:r>
      <w:r w:rsidR="00315997" w:rsidRPr="006A612F">
        <w:rPr>
          <w:i/>
          <w:iCs/>
          <w:szCs w:val="17"/>
        </w:rPr>
        <w:t>The</w:t>
      </w:r>
      <w:r w:rsidR="00315997" w:rsidRPr="006A612F">
        <w:rPr>
          <w:szCs w:val="17"/>
        </w:rPr>
        <w:t xml:space="preserve"> </w:t>
      </w:r>
      <w:r w:rsidR="00315997" w:rsidRPr="006A612F">
        <w:rPr>
          <w:i/>
          <w:szCs w:val="17"/>
        </w:rPr>
        <w:t>Blurred Blue Line</w:t>
      </w:r>
      <w:r w:rsidR="00315997" w:rsidRPr="006A612F">
        <w:rPr>
          <w:i/>
          <w:iCs/>
          <w:szCs w:val="17"/>
        </w:rPr>
        <w:t>: Municipal Liability, Police Indemnification, and Financial Accountability in Section 1983 Litigation</w:t>
      </w:r>
      <w:r w:rsidR="00315997" w:rsidRPr="006A612F">
        <w:rPr>
          <w:iCs/>
          <w:szCs w:val="17"/>
        </w:rPr>
        <w:t>,</w:t>
      </w:r>
      <w:r w:rsidR="00315997" w:rsidRPr="006A612F">
        <w:rPr>
          <w:i/>
          <w:iCs/>
          <w:szCs w:val="17"/>
        </w:rPr>
        <w:t xml:space="preserve"> </w:t>
      </w:r>
      <w:r w:rsidR="00315997" w:rsidRPr="006A612F">
        <w:rPr>
          <w:szCs w:val="17"/>
        </w:rPr>
        <w:t xml:space="preserve">62 </w:t>
      </w:r>
      <w:r w:rsidR="00315997" w:rsidRPr="006A612F">
        <w:rPr>
          <w:smallCaps/>
          <w:szCs w:val="17"/>
        </w:rPr>
        <w:t>Vill. L. Rev</w:t>
      </w:r>
      <w:r w:rsidR="00315997" w:rsidRPr="006A612F">
        <w:rPr>
          <w:szCs w:val="17"/>
        </w:rPr>
        <w:t xml:space="preserve">. 839, 849 (2017) (explaining that the </w:t>
      </w:r>
      <w:r w:rsidRPr="006A612F">
        <w:rPr>
          <w:szCs w:val="17"/>
        </w:rPr>
        <w:t>“</w:t>
      </w:r>
      <w:r w:rsidR="00315997" w:rsidRPr="006A612F">
        <w:rPr>
          <w:szCs w:val="17"/>
        </w:rPr>
        <w:t>under color of law</w:t>
      </w:r>
      <w:r w:rsidRPr="006A612F">
        <w:rPr>
          <w:szCs w:val="17"/>
        </w:rPr>
        <w:t>”</w:t>
      </w:r>
      <w:r w:rsidR="00315997" w:rsidRPr="006A612F">
        <w:rPr>
          <w:szCs w:val="17"/>
        </w:rPr>
        <w:t xml:space="preserve"> requirement depends, in part, on whether a defendant officer was acting </w:t>
      </w:r>
      <w:r w:rsidRPr="006A612F">
        <w:rPr>
          <w:szCs w:val="17"/>
        </w:rPr>
        <w:t>“</w:t>
      </w:r>
      <w:r w:rsidR="00315997" w:rsidRPr="006A612F">
        <w:rPr>
          <w:szCs w:val="17"/>
        </w:rPr>
        <w:t>within the scope of his duties or office</w:t>
      </w:r>
      <w:r w:rsidRPr="006A612F">
        <w:rPr>
          <w:szCs w:val="17"/>
        </w:rPr>
        <w:t>”</w:t>
      </w:r>
      <w:r w:rsidR="00315997" w:rsidRPr="006A612F">
        <w:rPr>
          <w:szCs w:val="17"/>
        </w:rPr>
        <w:t>).</w:t>
      </w:r>
    </w:p>
  </w:footnote>
  <w:footnote w:id="279">
    <w:p w14:paraId="78296860" w14:textId="5287DF2B" w:rsidR="00315997" w:rsidRPr="006A612F" w:rsidRDefault="00BF278E" w:rsidP="00AA6ED0">
      <w:pPr>
        <w:pStyle w:val="FootNote"/>
        <w:spacing w:line="240" w:lineRule="auto"/>
        <w:rPr>
          <w:szCs w:val="17"/>
        </w:rPr>
      </w:pPr>
      <w:r w:rsidRPr="006A612F">
        <w:rPr>
          <w:i/>
          <w:szCs w:val="17"/>
        </w:rPr>
        <w:fldChar w:fldCharType="begin"/>
      </w:r>
      <w:r w:rsidRPr="006A612F">
        <w:rPr>
          <w:i/>
          <w:szCs w:val="17"/>
        </w:rPr>
        <w:instrText xml:space="preserve"> ADVANCE \r12 \* MERGEFORMAT </w:instrText>
      </w:r>
      <w:r w:rsidRPr="006A612F">
        <w:rPr>
          <w:i/>
          <w:szCs w:val="17"/>
        </w:rPr>
        <w:fldChar w:fldCharType="end"/>
      </w:r>
      <w:r w:rsidR="00315997" w:rsidRPr="00732F34">
        <w:rPr>
          <w:rStyle w:val="NoterefInNote"/>
        </w:rPr>
        <w:footnoteRef/>
      </w:r>
      <w:r w:rsidRPr="00732F34">
        <w:rPr>
          <w:szCs w:val="17"/>
        </w:rPr>
        <w:t>.</w:t>
      </w:r>
      <w:r w:rsidRPr="006A612F">
        <w:rPr>
          <w:i/>
          <w:szCs w:val="17"/>
        </w:rPr>
        <w:fldChar w:fldCharType="begin"/>
      </w:r>
      <w:r w:rsidRPr="006A612F">
        <w:rPr>
          <w:i/>
          <w:szCs w:val="17"/>
        </w:rPr>
        <w:instrText xml:space="preserve"> ADVANCE \r4 \* MERGEFORMAT </w:instrText>
      </w:r>
      <w:r w:rsidRPr="006A612F">
        <w:rPr>
          <w:i/>
          <w:szCs w:val="17"/>
        </w:rPr>
        <w:fldChar w:fldCharType="end"/>
      </w:r>
      <w:r w:rsidR="00315997" w:rsidRPr="006A612F">
        <w:rPr>
          <w:i/>
          <w:szCs w:val="17"/>
        </w:rPr>
        <w:t xml:space="preserve">See, </w:t>
      </w:r>
      <w:r w:rsidR="00315997" w:rsidRPr="0024777B">
        <w:rPr>
          <w:i/>
          <w:szCs w:val="17"/>
        </w:rPr>
        <w:t>e.g.</w:t>
      </w:r>
      <w:r w:rsidR="00315997" w:rsidRPr="006A612F">
        <w:rPr>
          <w:iCs/>
          <w:szCs w:val="17"/>
        </w:rPr>
        <w:t xml:space="preserve">, </w:t>
      </w:r>
      <w:r w:rsidR="00315997" w:rsidRPr="006A612F">
        <w:rPr>
          <w:szCs w:val="17"/>
        </w:rPr>
        <w:t xml:space="preserve">Monroe v. Pape, 365 U.S. 167, 168 (1961) (referring to the interpretation of the language of § 1983 as </w:t>
      </w:r>
      <w:r w:rsidRPr="006A612F">
        <w:rPr>
          <w:szCs w:val="17"/>
        </w:rPr>
        <w:t>“</w:t>
      </w:r>
      <w:r w:rsidR="00315997" w:rsidRPr="006A612F">
        <w:rPr>
          <w:szCs w:val="17"/>
        </w:rPr>
        <w:t>an important question</w:t>
      </w:r>
      <w:r w:rsidRPr="006A612F">
        <w:rPr>
          <w:szCs w:val="17"/>
        </w:rPr>
        <w:t>”</w:t>
      </w:r>
      <w:r w:rsidR="00315997" w:rsidRPr="006A612F">
        <w:rPr>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033" w14:textId="46B311BE" w:rsidR="00315997" w:rsidRPr="009A69D8" w:rsidRDefault="00315997" w:rsidP="000B4C6E">
    <w:pPr>
      <w:pStyle w:val="header0"/>
    </w:pPr>
    <w:r>
      <w:rPr>
        <w:noProof/>
      </w:rPr>
      <w:fldChar w:fldCharType="begin"/>
    </w:r>
    <w:r>
      <w:rPr>
        <w:noProof/>
      </w:rPr>
      <w:instrText xml:space="preserve"> FILENAME  \* MERGEFORMAT </w:instrText>
    </w:r>
    <w:r>
      <w:rPr>
        <w:noProof/>
      </w:rPr>
      <w:fldChar w:fldCharType="separate"/>
    </w:r>
    <w:r w:rsidR="00BF278E">
      <w:rPr>
        <w:noProof/>
      </w:rPr>
      <w:t>2Ravenell.Printer.docx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FE7FAB">
      <w:rPr>
        <w:noProof/>
      </w:rPr>
      <w:t>4/10/22</w:t>
    </w:r>
    <w:r>
      <w:rPr>
        <w:noProof/>
      </w:rPr>
      <w:fldChar w:fldCharType="end"/>
    </w:r>
    <w:r w:rsidRPr="009A69D8">
      <w:t xml:space="preserve">  </w:t>
    </w:r>
    <w:r>
      <w:t xml:space="preserve"> </w:t>
    </w:r>
    <w:r>
      <w:rPr>
        <w:noProof/>
      </w:rPr>
      <w:fldChar w:fldCharType="begin"/>
    </w:r>
    <w:r>
      <w:rPr>
        <w:noProof/>
      </w:rPr>
      <w:instrText xml:space="preserve"> TIME </w:instrText>
    </w:r>
    <w:r>
      <w:rPr>
        <w:noProof/>
      </w:rPr>
      <w:fldChar w:fldCharType="separate"/>
    </w:r>
    <w:r w:rsidR="00FE7FAB">
      <w:rPr>
        <w:noProof/>
      </w:rPr>
      <w:t>1:52 PM</w:t>
    </w:r>
    <w:r>
      <w:rPr>
        <w:noProof/>
      </w:rPr>
      <w:fldChar w:fldCharType="end"/>
    </w:r>
  </w:p>
  <w:p w14:paraId="4AF39A0F" w14:textId="48FE1DC5" w:rsidR="00315997" w:rsidRPr="009A69D8" w:rsidRDefault="00315997" w:rsidP="0089231B">
    <w:pPr>
      <w:pStyle w:val="Header"/>
      <w:tabs>
        <w:tab w:val="clear" w:pos="4320"/>
        <w:tab w:val="clear" w:pos="8640"/>
        <w:tab w:val="center" w:pos="3360"/>
        <w:tab w:val="right" w:pos="6720"/>
      </w:tabs>
      <w:spacing w:before="720" w:after="800" w:line="260" w:lineRule="exact"/>
      <w:jc w:val="both"/>
    </w:pPr>
    <w:r w:rsidRPr="009A69D8">
      <w:rPr>
        <w:rStyle w:val="PageNumber"/>
      </w:rPr>
      <w:fldChar w:fldCharType="begin"/>
    </w:r>
    <w:r w:rsidRPr="009A69D8">
      <w:rPr>
        <w:rStyle w:val="PageNumber"/>
      </w:rPr>
      <w:instrText xml:space="preserve"> PAGE </w:instrText>
    </w:r>
    <w:r w:rsidRPr="009A69D8">
      <w:rPr>
        <w:rStyle w:val="PageNumber"/>
      </w:rPr>
      <w:fldChar w:fldCharType="separate"/>
    </w:r>
    <w:r w:rsidR="003063E3">
      <w:rPr>
        <w:rStyle w:val="PageNumber"/>
        <w:noProof/>
      </w:rPr>
      <w:t>180</w:t>
    </w:r>
    <w:r w:rsidRPr="009A69D8">
      <w:rPr>
        <w:rStyle w:val="PageNumber"/>
      </w:rPr>
      <w:fldChar w:fldCharType="end"/>
    </w:r>
    <w:r w:rsidRPr="009A69D8">
      <w:rPr>
        <w:rStyle w:val="PageNumber"/>
      </w:rPr>
      <w:tab/>
      <w:t>Texas Law Review</w:t>
    </w:r>
    <w:r w:rsidRPr="009A69D8">
      <w:rPr>
        <w:rStyle w:val="PageNumber"/>
      </w:rPr>
      <w:tab/>
      <w:t xml:space="preserve">[Vol. </w:t>
    </w:r>
    <w:r>
      <w:rPr>
        <w:rStyle w:val="PageNumber"/>
      </w:rPr>
      <w:fldChar w:fldCharType="begin"/>
    </w:r>
    <w:r>
      <w:rPr>
        <w:rStyle w:val="PageNumber"/>
      </w:rPr>
      <w:instrText xml:space="preserve"> FILLIN  "Volume and Page Number"  \* MERGEFORMAT </w:instrText>
    </w:r>
    <w:r>
      <w:rPr>
        <w:rStyle w:val="PageNumber"/>
      </w:rPr>
      <w:fldChar w:fldCharType="separate"/>
    </w:r>
    <w:r w:rsidR="00AA6ED0">
      <w:rPr>
        <w:rStyle w:val="PageNumber"/>
      </w:rPr>
      <w:t>100:891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C24F" w14:textId="56636494" w:rsidR="00315997" w:rsidRPr="009A69D8" w:rsidRDefault="00315997" w:rsidP="000B4C6E">
    <w:pPr>
      <w:pStyle w:val="header0"/>
    </w:pPr>
    <w:r>
      <w:rPr>
        <w:noProof/>
      </w:rPr>
      <w:fldChar w:fldCharType="begin"/>
    </w:r>
    <w:r>
      <w:rPr>
        <w:noProof/>
      </w:rPr>
      <w:instrText xml:space="preserve"> FILENAME  \* MERGEFORMAT </w:instrText>
    </w:r>
    <w:r>
      <w:rPr>
        <w:noProof/>
      </w:rPr>
      <w:fldChar w:fldCharType="separate"/>
    </w:r>
    <w:r w:rsidR="00BF278E">
      <w:rPr>
        <w:noProof/>
      </w:rPr>
      <w:t>Ravenell.Printer.docx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FE7FAB">
      <w:rPr>
        <w:noProof/>
      </w:rPr>
      <w:t>4/10/22</w:t>
    </w:r>
    <w:r>
      <w:rPr>
        <w:noProof/>
      </w:rPr>
      <w:fldChar w:fldCharType="end"/>
    </w:r>
    <w:r w:rsidRPr="009A69D8">
      <w:t xml:space="preserve">  </w:t>
    </w:r>
    <w:r>
      <w:t xml:space="preserve"> </w:t>
    </w:r>
    <w:r>
      <w:rPr>
        <w:noProof/>
      </w:rPr>
      <w:fldChar w:fldCharType="begin"/>
    </w:r>
    <w:r>
      <w:rPr>
        <w:noProof/>
      </w:rPr>
      <w:instrText xml:space="preserve"> TIME </w:instrText>
    </w:r>
    <w:r>
      <w:rPr>
        <w:noProof/>
      </w:rPr>
      <w:fldChar w:fldCharType="separate"/>
    </w:r>
    <w:r w:rsidR="00FE7FAB">
      <w:rPr>
        <w:noProof/>
      </w:rPr>
      <w:t>1:52 PM</w:t>
    </w:r>
    <w:r>
      <w:rPr>
        <w:noProof/>
      </w:rPr>
      <w:fldChar w:fldCharType="end"/>
    </w:r>
  </w:p>
  <w:p w14:paraId="4EDA2CA3" w14:textId="21EEE50B" w:rsidR="00315997" w:rsidRPr="009A69D8" w:rsidRDefault="00FC172D" w:rsidP="0089231B">
    <w:pPr>
      <w:pStyle w:val="Header"/>
      <w:tabs>
        <w:tab w:val="clear" w:pos="4320"/>
        <w:tab w:val="clear" w:pos="8640"/>
        <w:tab w:val="center" w:pos="3360"/>
        <w:tab w:val="right" w:pos="6720"/>
      </w:tabs>
      <w:spacing w:before="720" w:after="800" w:line="260" w:lineRule="exact"/>
      <w:jc w:val="both"/>
    </w:pPr>
    <w:r>
      <w:fldChar w:fldCharType="begin"/>
    </w:r>
    <w:r>
      <w:instrText xml:space="preserve"> FILLIN  Year  \* MERGEFORMAT </w:instrText>
    </w:r>
    <w:r>
      <w:fldChar w:fldCharType="separate"/>
    </w:r>
    <w:r w:rsidR="00AA6ED0">
      <w:t>2022</w:t>
    </w:r>
    <w:r>
      <w:fldChar w:fldCharType="end"/>
    </w:r>
    <w:r w:rsidR="00315997" w:rsidRPr="009A69D8">
      <w:t>]</w:t>
    </w:r>
    <w:r w:rsidR="00315997" w:rsidRPr="009A69D8">
      <w:tab/>
    </w:r>
    <w:r w:rsidR="00AA6ED0">
      <w:t>Unidentified Police Officials</w:t>
    </w:r>
    <w:r w:rsidR="00315997" w:rsidRPr="009A69D8">
      <w:tab/>
    </w:r>
    <w:r w:rsidR="00315997" w:rsidRPr="009A69D8">
      <w:rPr>
        <w:rStyle w:val="PageNumber"/>
      </w:rPr>
      <w:fldChar w:fldCharType="begin"/>
    </w:r>
    <w:r w:rsidR="00315997" w:rsidRPr="009A69D8">
      <w:rPr>
        <w:rStyle w:val="PageNumber"/>
      </w:rPr>
      <w:instrText xml:space="preserve"> PAGE </w:instrText>
    </w:r>
    <w:r w:rsidR="00315997" w:rsidRPr="009A69D8">
      <w:rPr>
        <w:rStyle w:val="PageNumber"/>
      </w:rPr>
      <w:fldChar w:fldCharType="separate"/>
    </w:r>
    <w:r w:rsidR="003063E3">
      <w:rPr>
        <w:rStyle w:val="PageNumber"/>
        <w:noProof/>
      </w:rPr>
      <w:t>181</w:t>
    </w:r>
    <w:r w:rsidR="00315997" w:rsidRPr="009A69D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6A2A" w14:textId="3F0A2D2B" w:rsidR="00315997" w:rsidRPr="009A69D8" w:rsidRDefault="00315997" w:rsidP="000B4C6E">
    <w:pPr>
      <w:pStyle w:val="header0"/>
    </w:pPr>
    <w:r>
      <w:rPr>
        <w:noProof/>
      </w:rPr>
      <w:fldChar w:fldCharType="begin"/>
    </w:r>
    <w:r>
      <w:rPr>
        <w:noProof/>
      </w:rPr>
      <w:instrText xml:space="preserve"> FILENAME  \* MERGEFORMAT </w:instrText>
    </w:r>
    <w:r>
      <w:rPr>
        <w:noProof/>
      </w:rPr>
      <w:fldChar w:fldCharType="separate"/>
    </w:r>
    <w:r w:rsidR="00BF278E">
      <w:rPr>
        <w:noProof/>
      </w:rPr>
      <w:t>Ravenell.Printer.docx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FE7FAB">
      <w:rPr>
        <w:noProof/>
      </w:rPr>
      <w:t>4/10/22</w:t>
    </w:r>
    <w:r>
      <w:rPr>
        <w:noProof/>
      </w:rPr>
      <w:fldChar w:fldCharType="end"/>
    </w:r>
    <w:r w:rsidRPr="009A69D8">
      <w:t xml:space="preserve"> </w:t>
    </w:r>
    <w:r>
      <w:rPr>
        <w:noProof/>
      </w:rPr>
      <w:fldChar w:fldCharType="begin"/>
    </w:r>
    <w:r>
      <w:rPr>
        <w:noProof/>
      </w:rPr>
      <w:instrText xml:space="preserve"> TIME </w:instrText>
    </w:r>
    <w:r>
      <w:rPr>
        <w:noProof/>
      </w:rPr>
      <w:fldChar w:fldCharType="separate"/>
    </w:r>
    <w:r w:rsidR="00FE7FAB">
      <w:rPr>
        <w:noProof/>
      </w:rPr>
      <w:t>1:52 PM</w:t>
    </w:r>
    <w:r>
      <w:rPr>
        <w:noProof/>
      </w:rPr>
      <w:fldChar w:fldCharType="end"/>
    </w:r>
  </w:p>
  <w:p w14:paraId="35C2A5F9" w14:textId="77777777" w:rsidR="00315997" w:rsidRPr="009A69D8" w:rsidRDefault="00315997">
    <w:pPr>
      <w:pStyle w:val="Header"/>
      <w:tabs>
        <w:tab w:val="clear" w:pos="4320"/>
        <w:tab w:val="clear" w:pos="8640"/>
        <w:tab w:val="right" w:pos="624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342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F549F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B10C3"/>
    <w:multiLevelType w:val="hybridMultilevel"/>
    <w:tmpl w:val="8FBC9CB4"/>
    <w:lvl w:ilvl="0" w:tplc="83028392">
      <w:start w:val="1"/>
      <w:numFmt w:val="bullet"/>
      <w:pStyle w:val="BulletListTX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03C676A3"/>
    <w:multiLevelType w:val="hybridMultilevel"/>
    <w:tmpl w:val="6C3005E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6D64"/>
    <w:multiLevelType w:val="hybridMultilevel"/>
    <w:tmpl w:val="FA80C8D0"/>
    <w:lvl w:ilvl="0" w:tplc="82D22C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F3AA9"/>
    <w:multiLevelType w:val="hybridMultilevel"/>
    <w:tmpl w:val="67D01E5A"/>
    <w:lvl w:ilvl="0" w:tplc="B7221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50362"/>
    <w:multiLevelType w:val="multilevel"/>
    <w:tmpl w:val="EA7ADFE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8" w15:restartNumberingAfterBreak="0">
    <w:nsid w:val="13EF6F26"/>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6980C40"/>
    <w:multiLevelType w:val="hybridMultilevel"/>
    <w:tmpl w:val="D9B6B4B0"/>
    <w:lvl w:ilvl="0" w:tplc="FFFFFFFF">
      <w:start w:val="1"/>
      <w:numFmt w:val="upperLetter"/>
      <w:suff w:val="nothing"/>
      <w:lvlText w:val="%1."/>
      <w:lvlJc w:val="left"/>
      <w:pPr>
        <w:tabs>
          <w:tab w:val="left" w:pos="36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FFFFFF">
      <w:start w:val="1"/>
      <w:numFmt w:val="upperLetter"/>
      <w:suff w:val="nothing"/>
      <w:lvlText w:val="%2."/>
      <w:lvlJc w:val="left"/>
      <w:pPr>
        <w:tabs>
          <w:tab w:val="left" w:pos="36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Roman"/>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Letter"/>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lowerRoman"/>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EA1E09"/>
    <w:multiLevelType w:val="hybridMultilevel"/>
    <w:tmpl w:val="0300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77451"/>
    <w:multiLevelType w:val="hybridMultilevel"/>
    <w:tmpl w:val="927E5FEC"/>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63271"/>
    <w:multiLevelType w:val="hybridMultilevel"/>
    <w:tmpl w:val="D9B6B4B0"/>
    <w:lvl w:ilvl="0" w:tplc="610C5FF4">
      <w:start w:val="1"/>
      <w:numFmt w:val="upperLetter"/>
      <w:suff w:val="nothing"/>
      <w:lvlText w:val="%1."/>
      <w:lvlJc w:val="left"/>
      <w:pPr>
        <w:tabs>
          <w:tab w:val="left" w:pos="36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A5A3CC8">
      <w:start w:val="1"/>
      <w:numFmt w:val="upperLetter"/>
      <w:suff w:val="nothing"/>
      <w:lvlText w:val="%2."/>
      <w:lvlJc w:val="left"/>
      <w:pPr>
        <w:tabs>
          <w:tab w:val="left" w:pos="360"/>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4472408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6EB004">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CAC0C4">
      <w:start w:val="1"/>
      <w:numFmt w:val="lowerRoman"/>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E10E6">
      <w:start w:val="1"/>
      <w:numFmt w:val="lowerLetter"/>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F6DB60">
      <w:start w:val="1"/>
      <w:numFmt w:val="lowerRoman"/>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9AFDF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007C0">
      <w:start w:val="1"/>
      <w:numFmt w:val="lowerRoman"/>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E56211"/>
    <w:multiLevelType w:val="multilevel"/>
    <w:tmpl w:val="3418D20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D64EB3"/>
    <w:multiLevelType w:val="hybridMultilevel"/>
    <w:tmpl w:val="A9326E76"/>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10968C5"/>
    <w:multiLevelType w:val="hybridMultilevel"/>
    <w:tmpl w:val="BE3A52A8"/>
    <w:lvl w:ilvl="0" w:tplc="CEA411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BB5C42"/>
    <w:multiLevelType w:val="multilevel"/>
    <w:tmpl w:val="F97E0F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8EB4546"/>
    <w:multiLevelType w:val="hybridMultilevel"/>
    <w:tmpl w:val="09CE9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432F1EEC"/>
    <w:multiLevelType w:val="hybridMultilevel"/>
    <w:tmpl w:val="4A6EC842"/>
    <w:lvl w:ilvl="0" w:tplc="16AABAC6">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17F46"/>
    <w:multiLevelType w:val="hybridMultilevel"/>
    <w:tmpl w:val="1A6E4306"/>
    <w:lvl w:ilvl="0" w:tplc="AD48231A">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8E1E7B"/>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C850527"/>
    <w:multiLevelType w:val="hybridMultilevel"/>
    <w:tmpl w:val="D0E80D36"/>
    <w:lvl w:ilvl="0" w:tplc="A874F496">
      <w:start w:val="1"/>
      <w:numFmt w:val="bullet"/>
      <w:pStyle w:val="BulletListFN"/>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7D991F83"/>
    <w:multiLevelType w:val="hybridMultilevel"/>
    <w:tmpl w:val="4AF29CEA"/>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4438BC"/>
    <w:multiLevelType w:val="multilevel"/>
    <w:tmpl w:val="76AAC862"/>
    <w:lvl w:ilvl="0">
      <w:start w:val="1"/>
      <w:numFmt w:val="none"/>
      <w:suff w:val="nothing"/>
      <w:lvlText w:val="%1"/>
      <w:lvlJc w:val="left"/>
      <w:pPr>
        <w:ind w:left="0" w:firstLine="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182091656">
    <w:abstractNumId w:val="7"/>
  </w:num>
  <w:num w:numId="2" w16cid:durableId="950357768">
    <w:abstractNumId w:val="2"/>
  </w:num>
  <w:num w:numId="3" w16cid:durableId="869220116">
    <w:abstractNumId w:val="22"/>
  </w:num>
  <w:num w:numId="4" w16cid:durableId="1117873322">
    <w:abstractNumId w:val="18"/>
  </w:num>
  <w:num w:numId="5" w16cid:durableId="576551760">
    <w:abstractNumId w:val="24"/>
  </w:num>
  <w:num w:numId="6" w16cid:durableId="1136335673">
    <w:abstractNumId w:val="13"/>
  </w:num>
  <w:num w:numId="7" w16cid:durableId="817380666">
    <w:abstractNumId w:val="6"/>
  </w:num>
  <w:num w:numId="8" w16cid:durableId="468937381">
    <w:abstractNumId w:val="16"/>
  </w:num>
  <w:num w:numId="9" w16cid:durableId="221910497">
    <w:abstractNumId w:val="21"/>
  </w:num>
  <w:num w:numId="10" w16cid:durableId="985403333">
    <w:abstractNumId w:val="8"/>
  </w:num>
  <w:num w:numId="11" w16cid:durableId="1972319093">
    <w:abstractNumId w:val="19"/>
  </w:num>
  <w:num w:numId="12" w16cid:durableId="509756117">
    <w:abstractNumId w:val="23"/>
  </w:num>
  <w:num w:numId="13" w16cid:durableId="2078361347">
    <w:abstractNumId w:val="0"/>
  </w:num>
  <w:num w:numId="14" w16cid:durableId="253512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417846">
    <w:abstractNumId w:val="5"/>
  </w:num>
  <w:num w:numId="16" w16cid:durableId="856164568">
    <w:abstractNumId w:val="3"/>
  </w:num>
  <w:num w:numId="17" w16cid:durableId="256866026">
    <w:abstractNumId w:val="4"/>
  </w:num>
  <w:num w:numId="18" w16cid:durableId="1926913123">
    <w:abstractNumId w:val="10"/>
  </w:num>
  <w:num w:numId="19" w16cid:durableId="1906377192">
    <w:abstractNumId w:val="14"/>
  </w:num>
  <w:num w:numId="20" w16cid:durableId="1292515635">
    <w:abstractNumId w:val="17"/>
  </w:num>
  <w:num w:numId="21" w16cid:durableId="96871293">
    <w:abstractNumId w:val="12"/>
  </w:num>
  <w:num w:numId="22" w16cid:durableId="83037800">
    <w:abstractNumId w:val="9"/>
  </w:num>
  <w:num w:numId="23" w16cid:durableId="2075080710">
    <w:abstractNumId w:val="9"/>
    <w:lvlOverride w:ilvl="0">
      <w:lvl w:ilvl="0" w:tplc="FFFFFFFF">
        <w:start w:val="1"/>
        <w:numFmt w:val="upperLetter"/>
        <w:suff w:val="nothing"/>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upperLetter"/>
        <w:suff w:val="nothing"/>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decimal"/>
        <w:lvlText w:val="%3."/>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lowerLetter"/>
        <w:lvlText w:val="%4."/>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lowerRoman"/>
        <w:lvlText w:val="%5."/>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lowerLetter"/>
        <w:lvlText w:val="(%6)"/>
        <w:lvlJc w:val="left"/>
        <w:pPr>
          <w:tabs>
            <w:tab w:val="num" w:pos="3600"/>
          </w:tabs>
          <w:ind w:left="384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lowerRoman"/>
        <w:lvlText w:val="(%7)"/>
        <w:lvlJc w:val="left"/>
        <w:pPr>
          <w:tabs>
            <w:tab w:val="num" w:pos="4320"/>
          </w:tabs>
          <w:ind w:left="456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lowerLetter"/>
        <w:lvlText w:val="(%8)"/>
        <w:lvlJc w:val="left"/>
        <w:pPr>
          <w:tabs>
            <w:tab w:val="num" w:pos="5040"/>
          </w:tabs>
          <w:ind w:left="528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lowerRoman"/>
        <w:lvlText w:val="(%9)"/>
        <w:lvlJc w:val="left"/>
        <w:pPr>
          <w:tabs>
            <w:tab w:val="num" w:pos="5760"/>
          </w:tabs>
          <w:ind w:left="60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4" w16cid:durableId="1569805644">
    <w:abstractNumId w:val="9"/>
    <w:lvlOverride w:ilvl="0">
      <w:startOverride w:val="1"/>
      <w:lvl w:ilvl="0" w:tplc="FFFFFFFF">
        <w:start w:val="1"/>
        <w:numFmt w:val="upperLetter"/>
        <w:suff w:val="nothing"/>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FFFFFFFF">
        <w:start w:val="3"/>
        <w:numFmt w:val="upperLetter"/>
        <w:suff w:val="nothing"/>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FFFFFF">
        <w:start w:val="1"/>
        <w:numFmt w:val="decimal"/>
        <w:lvlText w:val="%3."/>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FFFFFF">
        <w:start w:val="1"/>
        <w:numFmt w:val="lowerLetter"/>
        <w:lvlText w:val="%4."/>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FFFFFF">
        <w:start w:val="1"/>
        <w:numFmt w:val="lowerRoman"/>
        <w:lvlText w:val="%5."/>
        <w:lvlJc w:val="left"/>
        <w:pPr>
          <w:tabs>
            <w:tab w:val="num" w:pos="360"/>
          </w:tabs>
          <w:ind w:left="6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FFFFFF">
        <w:start w:val="1"/>
        <w:numFmt w:val="lowerLetter"/>
        <w:lvlText w:val="(%6)"/>
        <w:lvlJc w:val="left"/>
        <w:pPr>
          <w:tabs>
            <w:tab w:val="num" w:pos="3600"/>
          </w:tabs>
          <w:ind w:left="384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FFFFFF">
        <w:start w:val="1"/>
        <w:numFmt w:val="lowerRoman"/>
        <w:lvlText w:val="(%7)"/>
        <w:lvlJc w:val="left"/>
        <w:pPr>
          <w:tabs>
            <w:tab w:val="num" w:pos="4320"/>
          </w:tabs>
          <w:ind w:left="456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FFFFFF">
        <w:start w:val="1"/>
        <w:numFmt w:val="lowerLetter"/>
        <w:lvlText w:val="(%8)"/>
        <w:lvlJc w:val="left"/>
        <w:pPr>
          <w:tabs>
            <w:tab w:val="num" w:pos="5040"/>
          </w:tabs>
          <w:ind w:left="528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FFFFFF">
        <w:start w:val="1"/>
        <w:numFmt w:val="lowerRoman"/>
        <w:lvlText w:val="(%9)"/>
        <w:lvlJc w:val="left"/>
        <w:pPr>
          <w:tabs>
            <w:tab w:val="num" w:pos="5760"/>
          </w:tabs>
          <w:ind w:left="6000" w:hanging="6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5" w16cid:durableId="1208763283">
    <w:abstractNumId w:val="20"/>
  </w:num>
  <w:num w:numId="26" w16cid:durableId="962077284">
    <w:abstractNumId w:val="11"/>
  </w:num>
  <w:num w:numId="27" w16cid:durableId="200744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74"/>
    <w:rsid w:val="000012AB"/>
    <w:rsid w:val="00001513"/>
    <w:rsid w:val="00001C97"/>
    <w:rsid w:val="000039AA"/>
    <w:rsid w:val="000077C0"/>
    <w:rsid w:val="00012F85"/>
    <w:rsid w:val="00013B2B"/>
    <w:rsid w:val="00013B99"/>
    <w:rsid w:val="00015896"/>
    <w:rsid w:val="000203B0"/>
    <w:rsid w:val="00022025"/>
    <w:rsid w:val="000222BD"/>
    <w:rsid w:val="00022BFF"/>
    <w:rsid w:val="00023443"/>
    <w:rsid w:val="00024CE0"/>
    <w:rsid w:val="00026BCD"/>
    <w:rsid w:val="00026C11"/>
    <w:rsid w:val="00030E51"/>
    <w:rsid w:val="00031E49"/>
    <w:rsid w:val="0003344E"/>
    <w:rsid w:val="00035DF5"/>
    <w:rsid w:val="000368A3"/>
    <w:rsid w:val="00037067"/>
    <w:rsid w:val="00037237"/>
    <w:rsid w:val="000372A6"/>
    <w:rsid w:val="00040546"/>
    <w:rsid w:val="00042035"/>
    <w:rsid w:val="0004233F"/>
    <w:rsid w:val="00044FB4"/>
    <w:rsid w:val="00045AA5"/>
    <w:rsid w:val="00045DAA"/>
    <w:rsid w:val="00046690"/>
    <w:rsid w:val="00046BAD"/>
    <w:rsid w:val="00046FC7"/>
    <w:rsid w:val="00047807"/>
    <w:rsid w:val="000502DE"/>
    <w:rsid w:val="000518E4"/>
    <w:rsid w:val="00053D91"/>
    <w:rsid w:val="000541EA"/>
    <w:rsid w:val="00054FC6"/>
    <w:rsid w:val="00056735"/>
    <w:rsid w:val="00057DF0"/>
    <w:rsid w:val="000609FA"/>
    <w:rsid w:val="00060D2F"/>
    <w:rsid w:val="0006203F"/>
    <w:rsid w:val="00064A7B"/>
    <w:rsid w:val="000670BC"/>
    <w:rsid w:val="00070F50"/>
    <w:rsid w:val="0007169C"/>
    <w:rsid w:val="00073329"/>
    <w:rsid w:val="0007476E"/>
    <w:rsid w:val="00074DAE"/>
    <w:rsid w:val="00075098"/>
    <w:rsid w:val="00075E0C"/>
    <w:rsid w:val="00076429"/>
    <w:rsid w:val="000766E3"/>
    <w:rsid w:val="00076D77"/>
    <w:rsid w:val="00077809"/>
    <w:rsid w:val="000802E5"/>
    <w:rsid w:val="00081576"/>
    <w:rsid w:val="00081B83"/>
    <w:rsid w:val="00082AA6"/>
    <w:rsid w:val="00082F27"/>
    <w:rsid w:val="00083019"/>
    <w:rsid w:val="000834F2"/>
    <w:rsid w:val="00083531"/>
    <w:rsid w:val="0008562E"/>
    <w:rsid w:val="0009049C"/>
    <w:rsid w:val="00091633"/>
    <w:rsid w:val="00091B27"/>
    <w:rsid w:val="00093346"/>
    <w:rsid w:val="00093833"/>
    <w:rsid w:val="000939E3"/>
    <w:rsid w:val="00093F4D"/>
    <w:rsid w:val="00094694"/>
    <w:rsid w:val="000946C4"/>
    <w:rsid w:val="00096A9B"/>
    <w:rsid w:val="000A0102"/>
    <w:rsid w:val="000A07DC"/>
    <w:rsid w:val="000A089B"/>
    <w:rsid w:val="000A0DE5"/>
    <w:rsid w:val="000A17E9"/>
    <w:rsid w:val="000A19A8"/>
    <w:rsid w:val="000A5802"/>
    <w:rsid w:val="000A5E0B"/>
    <w:rsid w:val="000A5F92"/>
    <w:rsid w:val="000A747A"/>
    <w:rsid w:val="000B0EDC"/>
    <w:rsid w:val="000B12B2"/>
    <w:rsid w:val="000B1D04"/>
    <w:rsid w:val="000B1DCE"/>
    <w:rsid w:val="000B33F8"/>
    <w:rsid w:val="000B340A"/>
    <w:rsid w:val="000B3704"/>
    <w:rsid w:val="000B4C6E"/>
    <w:rsid w:val="000B6DD6"/>
    <w:rsid w:val="000B73A6"/>
    <w:rsid w:val="000C073E"/>
    <w:rsid w:val="000C1682"/>
    <w:rsid w:val="000C19BE"/>
    <w:rsid w:val="000C33B8"/>
    <w:rsid w:val="000C4540"/>
    <w:rsid w:val="000C4BB3"/>
    <w:rsid w:val="000C5A32"/>
    <w:rsid w:val="000C742B"/>
    <w:rsid w:val="000D02DC"/>
    <w:rsid w:val="000D13F7"/>
    <w:rsid w:val="000D1FF4"/>
    <w:rsid w:val="000D2202"/>
    <w:rsid w:val="000D2737"/>
    <w:rsid w:val="000D2D6E"/>
    <w:rsid w:val="000D3C10"/>
    <w:rsid w:val="000D52AA"/>
    <w:rsid w:val="000D6CB0"/>
    <w:rsid w:val="000D7C49"/>
    <w:rsid w:val="000E06E9"/>
    <w:rsid w:val="000E34EA"/>
    <w:rsid w:val="000E3908"/>
    <w:rsid w:val="000E3F92"/>
    <w:rsid w:val="000E4423"/>
    <w:rsid w:val="000E7EFE"/>
    <w:rsid w:val="000F1025"/>
    <w:rsid w:val="000F150B"/>
    <w:rsid w:val="000F25BB"/>
    <w:rsid w:val="000F390C"/>
    <w:rsid w:val="000F3FFB"/>
    <w:rsid w:val="000F5281"/>
    <w:rsid w:val="000F583A"/>
    <w:rsid w:val="000F6D56"/>
    <w:rsid w:val="00100BCF"/>
    <w:rsid w:val="001027E4"/>
    <w:rsid w:val="001029C5"/>
    <w:rsid w:val="00104300"/>
    <w:rsid w:val="00105073"/>
    <w:rsid w:val="0010593D"/>
    <w:rsid w:val="001059BA"/>
    <w:rsid w:val="00107994"/>
    <w:rsid w:val="0011001E"/>
    <w:rsid w:val="0011092B"/>
    <w:rsid w:val="001111AB"/>
    <w:rsid w:val="00113D6D"/>
    <w:rsid w:val="001203B5"/>
    <w:rsid w:val="00122873"/>
    <w:rsid w:val="00124067"/>
    <w:rsid w:val="00124CFB"/>
    <w:rsid w:val="00125067"/>
    <w:rsid w:val="00126028"/>
    <w:rsid w:val="00126425"/>
    <w:rsid w:val="00131CBC"/>
    <w:rsid w:val="00132048"/>
    <w:rsid w:val="00133496"/>
    <w:rsid w:val="00133B6A"/>
    <w:rsid w:val="001345DF"/>
    <w:rsid w:val="00134600"/>
    <w:rsid w:val="00134BA7"/>
    <w:rsid w:val="00135168"/>
    <w:rsid w:val="001352EF"/>
    <w:rsid w:val="001363DC"/>
    <w:rsid w:val="00137727"/>
    <w:rsid w:val="00137DBE"/>
    <w:rsid w:val="0014089F"/>
    <w:rsid w:val="00141C67"/>
    <w:rsid w:val="00141D3B"/>
    <w:rsid w:val="00142653"/>
    <w:rsid w:val="00143C37"/>
    <w:rsid w:val="00146E08"/>
    <w:rsid w:val="001473E8"/>
    <w:rsid w:val="00147D99"/>
    <w:rsid w:val="001506D8"/>
    <w:rsid w:val="001507F2"/>
    <w:rsid w:val="001508AE"/>
    <w:rsid w:val="00150BA7"/>
    <w:rsid w:val="00150CAD"/>
    <w:rsid w:val="00151271"/>
    <w:rsid w:val="001518B1"/>
    <w:rsid w:val="001541BE"/>
    <w:rsid w:val="00154292"/>
    <w:rsid w:val="00154C30"/>
    <w:rsid w:val="0015512A"/>
    <w:rsid w:val="001553FF"/>
    <w:rsid w:val="00155EED"/>
    <w:rsid w:val="001614CC"/>
    <w:rsid w:val="00161911"/>
    <w:rsid w:val="00162933"/>
    <w:rsid w:val="001631C7"/>
    <w:rsid w:val="001631F7"/>
    <w:rsid w:val="0016321F"/>
    <w:rsid w:val="0016352A"/>
    <w:rsid w:val="001660C5"/>
    <w:rsid w:val="00166D0D"/>
    <w:rsid w:val="00170128"/>
    <w:rsid w:val="00171250"/>
    <w:rsid w:val="00173185"/>
    <w:rsid w:val="00173C7B"/>
    <w:rsid w:val="00175351"/>
    <w:rsid w:val="00176812"/>
    <w:rsid w:val="00176D4F"/>
    <w:rsid w:val="00177C8A"/>
    <w:rsid w:val="00180472"/>
    <w:rsid w:val="001809A0"/>
    <w:rsid w:val="00181883"/>
    <w:rsid w:val="001825D1"/>
    <w:rsid w:val="00183201"/>
    <w:rsid w:val="001861FD"/>
    <w:rsid w:val="00186F78"/>
    <w:rsid w:val="00187B23"/>
    <w:rsid w:val="00190C97"/>
    <w:rsid w:val="00190D8C"/>
    <w:rsid w:val="001914C7"/>
    <w:rsid w:val="0019172D"/>
    <w:rsid w:val="00192343"/>
    <w:rsid w:val="001923AF"/>
    <w:rsid w:val="001929C2"/>
    <w:rsid w:val="00193BC4"/>
    <w:rsid w:val="00193BD9"/>
    <w:rsid w:val="00193D06"/>
    <w:rsid w:val="001950DE"/>
    <w:rsid w:val="0019515D"/>
    <w:rsid w:val="00195178"/>
    <w:rsid w:val="00195754"/>
    <w:rsid w:val="0019663F"/>
    <w:rsid w:val="001969A1"/>
    <w:rsid w:val="00197709"/>
    <w:rsid w:val="00197C72"/>
    <w:rsid w:val="001A09D9"/>
    <w:rsid w:val="001A0DFF"/>
    <w:rsid w:val="001A116F"/>
    <w:rsid w:val="001A1494"/>
    <w:rsid w:val="001A1D96"/>
    <w:rsid w:val="001A2E75"/>
    <w:rsid w:val="001A2F8D"/>
    <w:rsid w:val="001A40F6"/>
    <w:rsid w:val="001A4B8A"/>
    <w:rsid w:val="001A5A30"/>
    <w:rsid w:val="001A672D"/>
    <w:rsid w:val="001A7D90"/>
    <w:rsid w:val="001B07C0"/>
    <w:rsid w:val="001B3428"/>
    <w:rsid w:val="001B4730"/>
    <w:rsid w:val="001B509F"/>
    <w:rsid w:val="001B5B8E"/>
    <w:rsid w:val="001B5E31"/>
    <w:rsid w:val="001C11A7"/>
    <w:rsid w:val="001C1249"/>
    <w:rsid w:val="001C1BFD"/>
    <w:rsid w:val="001C1F2F"/>
    <w:rsid w:val="001C237E"/>
    <w:rsid w:val="001C5F88"/>
    <w:rsid w:val="001C726C"/>
    <w:rsid w:val="001C72A9"/>
    <w:rsid w:val="001C7362"/>
    <w:rsid w:val="001D0346"/>
    <w:rsid w:val="001D07A8"/>
    <w:rsid w:val="001D0DBD"/>
    <w:rsid w:val="001D1192"/>
    <w:rsid w:val="001D1CB9"/>
    <w:rsid w:val="001D1F54"/>
    <w:rsid w:val="001D1F9D"/>
    <w:rsid w:val="001D26C6"/>
    <w:rsid w:val="001D36CE"/>
    <w:rsid w:val="001D48CA"/>
    <w:rsid w:val="001D4D8D"/>
    <w:rsid w:val="001D4E15"/>
    <w:rsid w:val="001D52DF"/>
    <w:rsid w:val="001D5850"/>
    <w:rsid w:val="001D5A03"/>
    <w:rsid w:val="001E3B02"/>
    <w:rsid w:val="001E4F8A"/>
    <w:rsid w:val="001E7F4C"/>
    <w:rsid w:val="001F022E"/>
    <w:rsid w:val="001F03A0"/>
    <w:rsid w:val="001F1CDB"/>
    <w:rsid w:val="001F326B"/>
    <w:rsid w:val="001F3896"/>
    <w:rsid w:val="001F64BB"/>
    <w:rsid w:val="001F6849"/>
    <w:rsid w:val="001F7E13"/>
    <w:rsid w:val="0020204E"/>
    <w:rsid w:val="00202833"/>
    <w:rsid w:val="002038D0"/>
    <w:rsid w:val="002048AF"/>
    <w:rsid w:val="00204FA8"/>
    <w:rsid w:val="002068E8"/>
    <w:rsid w:val="00207571"/>
    <w:rsid w:val="0021255B"/>
    <w:rsid w:val="0021397F"/>
    <w:rsid w:val="002141E4"/>
    <w:rsid w:val="00216E0B"/>
    <w:rsid w:val="0021781E"/>
    <w:rsid w:val="00217F3B"/>
    <w:rsid w:val="00220665"/>
    <w:rsid w:val="002214E7"/>
    <w:rsid w:val="002215CD"/>
    <w:rsid w:val="0022242A"/>
    <w:rsid w:val="00222D6E"/>
    <w:rsid w:val="002241E3"/>
    <w:rsid w:val="00224405"/>
    <w:rsid w:val="0022446C"/>
    <w:rsid w:val="00226480"/>
    <w:rsid w:val="002272A2"/>
    <w:rsid w:val="00227442"/>
    <w:rsid w:val="00227760"/>
    <w:rsid w:val="0023145D"/>
    <w:rsid w:val="002333A9"/>
    <w:rsid w:val="002347A0"/>
    <w:rsid w:val="0023518E"/>
    <w:rsid w:val="002358E6"/>
    <w:rsid w:val="00236A3B"/>
    <w:rsid w:val="0023793B"/>
    <w:rsid w:val="0024033B"/>
    <w:rsid w:val="00241255"/>
    <w:rsid w:val="00241519"/>
    <w:rsid w:val="002415D2"/>
    <w:rsid w:val="00241FE8"/>
    <w:rsid w:val="002422F8"/>
    <w:rsid w:val="0024260C"/>
    <w:rsid w:val="00243A1F"/>
    <w:rsid w:val="002444B2"/>
    <w:rsid w:val="00244F96"/>
    <w:rsid w:val="00246BD3"/>
    <w:rsid w:val="00247547"/>
    <w:rsid w:val="0024777B"/>
    <w:rsid w:val="00250946"/>
    <w:rsid w:val="00251143"/>
    <w:rsid w:val="002512B3"/>
    <w:rsid w:val="0025176C"/>
    <w:rsid w:val="00251C49"/>
    <w:rsid w:val="00251CA0"/>
    <w:rsid w:val="002521EA"/>
    <w:rsid w:val="00253B72"/>
    <w:rsid w:val="00254352"/>
    <w:rsid w:val="002554D6"/>
    <w:rsid w:val="00256158"/>
    <w:rsid w:val="0025640A"/>
    <w:rsid w:val="0025756C"/>
    <w:rsid w:val="00261233"/>
    <w:rsid w:val="002619A6"/>
    <w:rsid w:val="002626CF"/>
    <w:rsid w:val="002629F1"/>
    <w:rsid w:val="002642C4"/>
    <w:rsid w:val="0026434A"/>
    <w:rsid w:val="00264C3C"/>
    <w:rsid w:val="00266EC3"/>
    <w:rsid w:val="00266F24"/>
    <w:rsid w:val="00267937"/>
    <w:rsid w:val="00271856"/>
    <w:rsid w:val="002719DD"/>
    <w:rsid w:val="00271AC3"/>
    <w:rsid w:val="0027550B"/>
    <w:rsid w:val="00276385"/>
    <w:rsid w:val="00277243"/>
    <w:rsid w:val="0027739F"/>
    <w:rsid w:val="00281A13"/>
    <w:rsid w:val="00282A5A"/>
    <w:rsid w:val="00284A42"/>
    <w:rsid w:val="00287140"/>
    <w:rsid w:val="002920D5"/>
    <w:rsid w:val="0029218C"/>
    <w:rsid w:val="00292C6F"/>
    <w:rsid w:val="002939D8"/>
    <w:rsid w:val="00294D60"/>
    <w:rsid w:val="00295D32"/>
    <w:rsid w:val="0029677C"/>
    <w:rsid w:val="0029716E"/>
    <w:rsid w:val="00297186"/>
    <w:rsid w:val="0029770A"/>
    <w:rsid w:val="00297C4B"/>
    <w:rsid w:val="002A23F2"/>
    <w:rsid w:val="002A51D9"/>
    <w:rsid w:val="002A6F02"/>
    <w:rsid w:val="002B0A30"/>
    <w:rsid w:val="002B1110"/>
    <w:rsid w:val="002B122C"/>
    <w:rsid w:val="002B2186"/>
    <w:rsid w:val="002B4261"/>
    <w:rsid w:val="002B6808"/>
    <w:rsid w:val="002B7B3E"/>
    <w:rsid w:val="002C032B"/>
    <w:rsid w:val="002C0E6D"/>
    <w:rsid w:val="002C14AF"/>
    <w:rsid w:val="002C288A"/>
    <w:rsid w:val="002C4630"/>
    <w:rsid w:val="002C4C7D"/>
    <w:rsid w:val="002C5FD5"/>
    <w:rsid w:val="002C6311"/>
    <w:rsid w:val="002C679D"/>
    <w:rsid w:val="002C6D4A"/>
    <w:rsid w:val="002D0591"/>
    <w:rsid w:val="002D082E"/>
    <w:rsid w:val="002D222F"/>
    <w:rsid w:val="002D28A4"/>
    <w:rsid w:val="002D2B44"/>
    <w:rsid w:val="002D4FAA"/>
    <w:rsid w:val="002D5C11"/>
    <w:rsid w:val="002D6EC1"/>
    <w:rsid w:val="002D723C"/>
    <w:rsid w:val="002E0DD2"/>
    <w:rsid w:val="002E174E"/>
    <w:rsid w:val="002E2000"/>
    <w:rsid w:val="002E2B01"/>
    <w:rsid w:val="002E69F0"/>
    <w:rsid w:val="002E6A3C"/>
    <w:rsid w:val="002E6F0B"/>
    <w:rsid w:val="002E6FD0"/>
    <w:rsid w:val="002F021D"/>
    <w:rsid w:val="002F1378"/>
    <w:rsid w:val="002F285D"/>
    <w:rsid w:val="002F31CF"/>
    <w:rsid w:val="002F3458"/>
    <w:rsid w:val="002F3BB0"/>
    <w:rsid w:val="002F44D1"/>
    <w:rsid w:val="002F45CC"/>
    <w:rsid w:val="002F473A"/>
    <w:rsid w:val="002F5E83"/>
    <w:rsid w:val="00300090"/>
    <w:rsid w:val="00301098"/>
    <w:rsid w:val="00301511"/>
    <w:rsid w:val="00302C99"/>
    <w:rsid w:val="00303F31"/>
    <w:rsid w:val="00305997"/>
    <w:rsid w:val="00305AC4"/>
    <w:rsid w:val="00305CA6"/>
    <w:rsid w:val="003063E3"/>
    <w:rsid w:val="003068DD"/>
    <w:rsid w:val="00307419"/>
    <w:rsid w:val="00310346"/>
    <w:rsid w:val="00311081"/>
    <w:rsid w:val="00312C08"/>
    <w:rsid w:val="00312D0F"/>
    <w:rsid w:val="00315947"/>
    <w:rsid w:val="00315997"/>
    <w:rsid w:val="00315D62"/>
    <w:rsid w:val="0032024B"/>
    <w:rsid w:val="00321CCA"/>
    <w:rsid w:val="0032282C"/>
    <w:rsid w:val="0032293B"/>
    <w:rsid w:val="00322DB0"/>
    <w:rsid w:val="00323F69"/>
    <w:rsid w:val="00326437"/>
    <w:rsid w:val="003270D8"/>
    <w:rsid w:val="00331A62"/>
    <w:rsid w:val="00331D24"/>
    <w:rsid w:val="00331EDA"/>
    <w:rsid w:val="00332057"/>
    <w:rsid w:val="00332F7E"/>
    <w:rsid w:val="00334F71"/>
    <w:rsid w:val="0033549D"/>
    <w:rsid w:val="003361E2"/>
    <w:rsid w:val="00337504"/>
    <w:rsid w:val="00340ACB"/>
    <w:rsid w:val="00341794"/>
    <w:rsid w:val="00341E8D"/>
    <w:rsid w:val="00343847"/>
    <w:rsid w:val="003479B3"/>
    <w:rsid w:val="003501DB"/>
    <w:rsid w:val="00351B3E"/>
    <w:rsid w:val="003525FC"/>
    <w:rsid w:val="00355BC8"/>
    <w:rsid w:val="0035626E"/>
    <w:rsid w:val="0035632E"/>
    <w:rsid w:val="00356FA3"/>
    <w:rsid w:val="00361002"/>
    <w:rsid w:val="0036149F"/>
    <w:rsid w:val="00361E06"/>
    <w:rsid w:val="0036238D"/>
    <w:rsid w:val="0036482A"/>
    <w:rsid w:val="003660DF"/>
    <w:rsid w:val="0036699D"/>
    <w:rsid w:val="00367132"/>
    <w:rsid w:val="0036792F"/>
    <w:rsid w:val="00367FB9"/>
    <w:rsid w:val="003704A8"/>
    <w:rsid w:val="00371328"/>
    <w:rsid w:val="0037176A"/>
    <w:rsid w:val="00372DBA"/>
    <w:rsid w:val="00373DD9"/>
    <w:rsid w:val="00374455"/>
    <w:rsid w:val="00374A32"/>
    <w:rsid w:val="00374A75"/>
    <w:rsid w:val="00375350"/>
    <w:rsid w:val="00375726"/>
    <w:rsid w:val="0037599E"/>
    <w:rsid w:val="0037611D"/>
    <w:rsid w:val="0037651F"/>
    <w:rsid w:val="003800BF"/>
    <w:rsid w:val="00381222"/>
    <w:rsid w:val="0038666C"/>
    <w:rsid w:val="003867BC"/>
    <w:rsid w:val="00387AF4"/>
    <w:rsid w:val="00390020"/>
    <w:rsid w:val="00392602"/>
    <w:rsid w:val="00392D5C"/>
    <w:rsid w:val="00392D71"/>
    <w:rsid w:val="00393232"/>
    <w:rsid w:val="00393D80"/>
    <w:rsid w:val="00396F4F"/>
    <w:rsid w:val="003A01DC"/>
    <w:rsid w:val="003A27FE"/>
    <w:rsid w:val="003A5349"/>
    <w:rsid w:val="003A54FF"/>
    <w:rsid w:val="003A65AB"/>
    <w:rsid w:val="003B1140"/>
    <w:rsid w:val="003B1A59"/>
    <w:rsid w:val="003B1C16"/>
    <w:rsid w:val="003B3082"/>
    <w:rsid w:val="003B3BA9"/>
    <w:rsid w:val="003B3D50"/>
    <w:rsid w:val="003B42B9"/>
    <w:rsid w:val="003B45FF"/>
    <w:rsid w:val="003B67E6"/>
    <w:rsid w:val="003C1C89"/>
    <w:rsid w:val="003C5470"/>
    <w:rsid w:val="003C64C8"/>
    <w:rsid w:val="003C7F84"/>
    <w:rsid w:val="003D09C7"/>
    <w:rsid w:val="003D18DE"/>
    <w:rsid w:val="003D25E7"/>
    <w:rsid w:val="003D3E75"/>
    <w:rsid w:val="003D3EBB"/>
    <w:rsid w:val="003D432E"/>
    <w:rsid w:val="003D43E6"/>
    <w:rsid w:val="003D6213"/>
    <w:rsid w:val="003D645C"/>
    <w:rsid w:val="003D67C6"/>
    <w:rsid w:val="003E05B1"/>
    <w:rsid w:val="003E0B97"/>
    <w:rsid w:val="003E1289"/>
    <w:rsid w:val="003E17AF"/>
    <w:rsid w:val="003E272D"/>
    <w:rsid w:val="003E346B"/>
    <w:rsid w:val="003E42AB"/>
    <w:rsid w:val="003E52F1"/>
    <w:rsid w:val="003E5423"/>
    <w:rsid w:val="003E55A3"/>
    <w:rsid w:val="003E64D8"/>
    <w:rsid w:val="003E6C7E"/>
    <w:rsid w:val="003E7064"/>
    <w:rsid w:val="003F0581"/>
    <w:rsid w:val="003F0FB0"/>
    <w:rsid w:val="003F2F9F"/>
    <w:rsid w:val="003F40F3"/>
    <w:rsid w:val="003F47AB"/>
    <w:rsid w:val="003F4E78"/>
    <w:rsid w:val="00400D81"/>
    <w:rsid w:val="00402190"/>
    <w:rsid w:val="004021E4"/>
    <w:rsid w:val="00406078"/>
    <w:rsid w:val="00406E6F"/>
    <w:rsid w:val="0040769F"/>
    <w:rsid w:val="00410EA5"/>
    <w:rsid w:val="00410EAF"/>
    <w:rsid w:val="00411E0D"/>
    <w:rsid w:val="004141F0"/>
    <w:rsid w:val="00415681"/>
    <w:rsid w:val="00422595"/>
    <w:rsid w:val="00423013"/>
    <w:rsid w:val="004231AC"/>
    <w:rsid w:val="00423846"/>
    <w:rsid w:val="00423A8B"/>
    <w:rsid w:val="00424A30"/>
    <w:rsid w:val="00426618"/>
    <w:rsid w:val="004268C2"/>
    <w:rsid w:val="004270F7"/>
    <w:rsid w:val="004304EC"/>
    <w:rsid w:val="00430ADF"/>
    <w:rsid w:val="00432A4F"/>
    <w:rsid w:val="00432C75"/>
    <w:rsid w:val="00433CDA"/>
    <w:rsid w:val="00434A95"/>
    <w:rsid w:val="00435B35"/>
    <w:rsid w:val="0044019B"/>
    <w:rsid w:val="004437F4"/>
    <w:rsid w:val="00445D02"/>
    <w:rsid w:val="00446AA6"/>
    <w:rsid w:val="00446EA5"/>
    <w:rsid w:val="00447E09"/>
    <w:rsid w:val="004511B9"/>
    <w:rsid w:val="00453225"/>
    <w:rsid w:val="00453243"/>
    <w:rsid w:val="00453EBE"/>
    <w:rsid w:val="0045450B"/>
    <w:rsid w:val="00454572"/>
    <w:rsid w:val="00457A58"/>
    <w:rsid w:val="00461840"/>
    <w:rsid w:val="00461CA0"/>
    <w:rsid w:val="004625C5"/>
    <w:rsid w:val="00464D96"/>
    <w:rsid w:val="004651F3"/>
    <w:rsid w:val="004662DB"/>
    <w:rsid w:val="00470821"/>
    <w:rsid w:val="00470C14"/>
    <w:rsid w:val="00471AF0"/>
    <w:rsid w:val="0047262B"/>
    <w:rsid w:val="00472943"/>
    <w:rsid w:val="00472B75"/>
    <w:rsid w:val="004731E6"/>
    <w:rsid w:val="00473563"/>
    <w:rsid w:val="004759CA"/>
    <w:rsid w:val="00475AE3"/>
    <w:rsid w:val="00477D61"/>
    <w:rsid w:val="00480BBF"/>
    <w:rsid w:val="00481205"/>
    <w:rsid w:val="00481A77"/>
    <w:rsid w:val="00483289"/>
    <w:rsid w:val="00483CDD"/>
    <w:rsid w:val="004845D7"/>
    <w:rsid w:val="004867B6"/>
    <w:rsid w:val="00487B15"/>
    <w:rsid w:val="00490AF5"/>
    <w:rsid w:val="00490FBB"/>
    <w:rsid w:val="00492B2C"/>
    <w:rsid w:val="0049321C"/>
    <w:rsid w:val="0049322C"/>
    <w:rsid w:val="00495DC0"/>
    <w:rsid w:val="00496D74"/>
    <w:rsid w:val="004979DE"/>
    <w:rsid w:val="004A0CF7"/>
    <w:rsid w:val="004A188B"/>
    <w:rsid w:val="004A280F"/>
    <w:rsid w:val="004A3DEB"/>
    <w:rsid w:val="004A4A32"/>
    <w:rsid w:val="004A50F2"/>
    <w:rsid w:val="004A71B0"/>
    <w:rsid w:val="004B1067"/>
    <w:rsid w:val="004B1699"/>
    <w:rsid w:val="004B21F8"/>
    <w:rsid w:val="004B2C93"/>
    <w:rsid w:val="004B4BF4"/>
    <w:rsid w:val="004B4F18"/>
    <w:rsid w:val="004B7EA4"/>
    <w:rsid w:val="004C113A"/>
    <w:rsid w:val="004C2379"/>
    <w:rsid w:val="004C245A"/>
    <w:rsid w:val="004C3EA5"/>
    <w:rsid w:val="004C5733"/>
    <w:rsid w:val="004C5CB4"/>
    <w:rsid w:val="004C6FB7"/>
    <w:rsid w:val="004C7450"/>
    <w:rsid w:val="004C7568"/>
    <w:rsid w:val="004C7896"/>
    <w:rsid w:val="004D23A9"/>
    <w:rsid w:val="004D250E"/>
    <w:rsid w:val="004D2B2B"/>
    <w:rsid w:val="004D423C"/>
    <w:rsid w:val="004D4C38"/>
    <w:rsid w:val="004D518C"/>
    <w:rsid w:val="004D6AA4"/>
    <w:rsid w:val="004D77DD"/>
    <w:rsid w:val="004D7919"/>
    <w:rsid w:val="004E244B"/>
    <w:rsid w:val="004E2530"/>
    <w:rsid w:val="004E2C50"/>
    <w:rsid w:val="004E2E88"/>
    <w:rsid w:val="004E38B1"/>
    <w:rsid w:val="004E57B1"/>
    <w:rsid w:val="004E61B3"/>
    <w:rsid w:val="004E71E6"/>
    <w:rsid w:val="004E752C"/>
    <w:rsid w:val="004E7F0E"/>
    <w:rsid w:val="004F0E54"/>
    <w:rsid w:val="004F2931"/>
    <w:rsid w:val="004F3451"/>
    <w:rsid w:val="004F36A2"/>
    <w:rsid w:val="004F36AE"/>
    <w:rsid w:val="004F3A9D"/>
    <w:rsid w:val="004F3DCD"/>
    <w:rsid w:val="004F6779"/>
    <w:rsid w:val="004F7219"/>
    <w:rsid w:val="004F752A"/>
    <w:rsid w:val="005016CB"/>
    <w:rsid w:val="00502EEB"/>
    <w:rsid w:val="0050446C"/>
    <w:rsid w:val="00504B4C"/>
    <w:rsid w:val="00505C21"/>
    <w:rsid w:val="005066AE"/>
    <w:rsid w:val="00507381"/>
    <w:rsid w:val="0050756C"/>
    <w:rsid w:val="00510218"/>
    <w:rsid w:val="00510E26"/>
    <w:rsid w:val="00511BB4"/>
    <w:rsid w:val="00511C44"/>
    <w:rsid w:val="00511EEB"/>
    <w:rsid w:val="0051256F"/>
    <w:rsid w:val="00512CEE"/>
    <w:rsid w:val="00512E29"/>
    <w:rsid w:val="005131FD"/>
    <w:rsid w:val="00513883"/>
    <w:rsid w:val="00515BFC"/>
    <w:rsid w:val="005165CF"/>
    <w:rsid w:val="00517D60"/>
    <w:rsid w:val="005203F5"/>
    <w:rsid w:val="00520795"/>
    <w:rsid w:val="00520F96"/>
    <w:rsid w:val="00521DE6"/>
    <w:rsid w:val="0052200D"/>
    <w:rsid w:val="005221F0"/>
    <w:rsid w:val="00526B3C"/>
    <w:rsid w:val="005270E0"/>
    <w:rsid w:val="005307DA"/>
    <w:rsid w:val="00530B96"/>
    <w:rsid w:val="00533EBE"/>
    <w:rsid w:val="00534B16"/>
    <w:rsid w:val="005357E9"/>
    <w:rsid w:val="00535945"/>
    <w:rsid w:val="0054137F"/>
    <w:rsid w:val="00541E08"/>
    <w:rsid w:val="00542591"/>
    <w:rsid w:val="00543A07"/>
    <w:rsid w:val="00545910"/>
    <w:rsid w:val="00545E5A"/>
    <w:rsid w:val="00547790"/>
    <w:rsid w:val="005501BC"/>
    <w:rsid w:val="00550298"/>
    <w:rsid w:val="00550432"/>
    <w:rsid w:val="00554022"/>
    <w:rsid w:val="005552C2"/>
    <w:rsid w:val="00555631"/>
    <w:rsid w:val="00555A02"/>
    <w:rsid w:val="005565F5"/>
    <w:rsid w:val="00556673"/>
    <w:rsid w:val="00556D67"/>
    <w:rsid w:val="005576EA"/>
    <w:rsid w:val="005601D1"/>
    <w:rsid w:val="00560CC1"/>
    <w:rsid w:val="005622F1"/>
    <w:rsid w:val="005626E1"/>
    <w:rsid w:val="00562B71"/>
    <w:rsid w:val="005648B0"/>
    <w:rsid w:val="00564B5F"/>
    <w:rsid w:val="005651DD"/>
    <w:rsid w:val="00565339"/>
    <w:rsid w:val="005665DD"/>
    <w:rsid w:val="00566758"/>
    <w:rsid w:val="0056693A"/>
    <w:rsid w:val="005674B3"/>
    <w:rsid w:val="0057381A"/>
    <w:rsid w:val="00574BC4"/>
    <w:rsid w:val="0057532F"/>
    <w:rsid w:val="00580DA6"/>
    <w:rsid w:val="00581D4F"/>
    <w:rsid w:val="005831A8"/>
    <w:rsid w:val="005840C2"/>
    <w:rsid w:val="00585B47"/>
    <w:rsid w:val="00591139"/>
    <w:rsid w:val="00591C26"/>
    <w:rsid w:val="00591E50"/>
    <w:rsid w:val="00593F5E"/>
    <w:rsid w:val="0059671B"/>
    <w:rsid w:val="005A0FF6"/>
    <w:rsid w:val="005A12D5"/>
    <w:rsid w:val="005A20CA"/>
    <w:rsid w:val="005A33E8"/>
    <w:rsid w:val="005A35DD"/>
    <w:rsid w:val="005A3C7D"/>
    <w:rsid w:val="005A4295"/>
    <w:rsid w:val="005A4809"/>
    <w:rsid w:val="005A4A7E"/>
    <w:rsid w:val="005A59B7"/>
    <w:rsid w:val="005A6C06"/>
    <w:rsid w:val="005A798D"/>
    <w:rsid w:val="005B0534"/>
    <w:rsid w:val="005B2BD7"/>
    <w:rsid w:val="005B32AF"/>
    <w:rsid w:val="005B63F2"/>
    <w:rsid w:val="005B6DD3"/>
    <w:rsid w:val="005B6F5A"/>
    <w:rsid w:val="005C0B96"/>
    <w:rsid w:val="005C5398"/>
    <w:rsid w:val="005C56AF"/>
    <w:rsid w:val="005C573F"/>
    <w:rsid w:val="005C578B"/>
    <w:rsid w:val="005C59E4"/>
    <w:rsid w:val="005C5BB4"/>
    <w:rsid w:val="005C5CE1"/>
    <w:rsid w:val="005C6A8B"/>
    <w:rsid w:val="005C72DF"/>
    <w:rsid w:val="005C7588"/>
    <w:rsid w:val="005C7E04"/>
    <w:rsid w:val="005D22A0"/>
    <w:rsid w:val="005D473A"/>
    <w:rsid w:val="005D59AC"/>
    <w:rsid w:val="005D5AB7"/>
    <w:rsid w:val="005D6896"/>
    <w:rsid w:val="005D6CE2"/>
    <w:rsid w:val="005D75D9"/>
    <w:rsid w:val="005E0E52"/>
    <w:rsid w:val="005E10D8"/>
    <w:rsid w:val="005E13F7"/>
    <w:rsid w:val="005E2B1E"/>
    <w:rsid w:val="005E2E6C"/>
    <w:rsid w:val="005E31EA"/>
    <w:rsid w:val="005E394E"/>
    <w:rsid w:val="005E4228"/>
    <w:rsid w:val="005E4C88"/>
    <w:rsid w:val="005E69FC"/>
    <w:rsid w:val="005E753C"/>
    <w:rsid w:val="005E79BE"/>
    <w:rsid w:val="005F0528"/>
    <w:rsid w:val="005F0FD1"/>
    <w:rsid w:val="005F2067"/>
    <w:rsid w:val="005F3162"/>
    <w:rsid w:val="005F3BA3"/>
    <w:rsid w:val="005F4C55"/>
    <w:rsid w:val="005F685F"/>
    <w:rsid w:val="005F7613"/>
    <w:rsid w:val="00601745"/>
    <w:rsid w:val="006044FD"/>
    <w:rsid w:val="00604F3A"/>
    <w:rsid w:val="0060784B"/>
    <w:rsid w:val="00607C0D"/>
    <w:rsid w:val="00610769"/>
    <w:rsid w:val="00610C63"/>
    <w:rsid w:val="00610CC5"/>
    <w:rsid w:val="00611488"/>
    <w:rsid w:val="00611CA9"/>
    <w:rsid w:val="006121D1"/>
    <w:rsid w:val="00612C59"/>
    <w:rsid w:val="00614397"/>
    <w:rsid w:val="0061495A"/>
    <w:rsid w:val="00615189"/>
    <w:rsid w:val="00616171"/>
    <w:rsid w:val="006208C8"/>
    <w:rsid w:val="00620B4E"/>
    <w:rsid w:val="00622213"/>
    <w:rsid w:val="006239DA"/>
    <w:rsid w:val="006248B1"/>
    <w:rsid w:val="00625A5F"/>
    <w:rsid w:val="006268E5"/>
    <w:rsid w:val="0062740D"/>
    <w:rsid w:val="00627D60"/>
    <w:rsid w:val="00630764"/>
    <w:rsid w:val="00631F8B"/>
    <w:rsid w:val="00632636"/>
    <w:rsid w:val="006337E4"/>
    <w:rsid w:val="00634F47"/>
    <w:rsid w:val="0063762D"/>
    <w:rsid w:val="00637BCF"/>
    <w:rsid w:val="00642EAE"/>
    <w:rsid w:val="00644CFC"/>
    <w:rsid w:val="00645434"/>
    <w:rsid w:val="00650130"/>
    <w:rsid w:val="00651EDD"/>
    <w:rsid w:val="00653848"/>
    <w:rsid w:val="00653E00"/>
    <w:rsid w:val="006543EF"/>
    <w:rsid w:val="006552C3"/>
    <w:rsid w:val="006554DD"/>
    <w:rsid w:val="00655927"/>
    <w:rsid w:val="00655DB5"/>
    <w:rsid w:val="006562DB"/>
    <w:rsid w:val="00656C98"/>
    <w:rsid w:val="00660EA3"/>
    <w:rsid w:val="00661598"/>
    <w:rsid w:val="00661F58"/>
    <w:rsid w:val="006626CB"/>
    <w:rsid w:val="00663B31"/>
    <w:rsid w:val="00663ED9"/>
    <w:rsid w:val="00664EF4"/>
    <w:rsid w:val="006654F4"/>
    <w:rsid w:val="00666A8C"/>
    <w:rsid w:val="00670A10"/>
    <w:rsid w:val="00670B15"/>
    <w:rsid w:val="00670B93"/>
    <w:rsid w:val="00671396"/>
    <w:rsid w:val="0067167C"/>
    <w:rsid w:val="00672036"/>
    <w:rsid w:val="00672649"/>
    <w:rsid w:val="006736C7"/>
    <w:rsid w:val="006738D2"/>
    <w:rsid w:val="00673F92"/>
    <w:rsid w:val="00680A0A"/>
    <w:rsid w:val="00680E8A"/>
    <w:rsid w:val="00681BE8"/>
    <w:rsid w:val="006823C2"/>
    <w:rsid w:val="006834B3"/>
    <w:rsid w:val="00684D2F"/>
    <w:rsid w:val="00687493"/>
    <w:rsid w:val="00687E39"/>
    <w:rsid w:val="00687EE0"/>
    <w:rsid w:val="006903F5"/>
    <w:rsid w:val="00691030"/>
    <w:rsid w:val="006925F5"/>
    <w:rsid w:val="00693654"/>
    <w:rsid w:val="00693A09"/>
    <w:rsid w:val="00694422"/>
    <w:rsid w:val="00694546"/>
    <w:rsid w:val="006946CB"/>
    <w:rsid w:val="00694943"/>
    <w:rsid w:val="0069568F"/>
    <w:rsid w:val="00695A85"/>
    <w:rsid w:val="00695BB0"/>
    <w:rsid w:val="00696ED1"/>
    <w:rsid w:val="00696FB0"/>
    <w:rsid w:val="006A0069"/>
    <w:rsid w:val="006A0A4E"/>
    <w:rsid w:val="006A2439"/>
    <w:rsid w:val="006A559C"/>
    <w:rsid w:val="006A5DC1"/>
    <w:rsid w:val="006A612F"/>
    <w:rsid w:val="006A6687"/>
    <w:rsid w:val="006A78BF"/>
    <w:rsid w:val="006A7934"/>
    <w:rsid w:val="006B12D7"/>
    <w:rsid w:val="006B1791"/>
    <w:rsid w:val="006B1A41"/>
    <w:rsid w:val="006B4655"/>
    <w:rsid w:val="006B46E6"/>
    <w:rsid w:val="006B471C"/>
    <w:rsid w:val="006B5958"/>
    <w:rsid w:val="006B7D01"/>
    <w:rsid w:val="006C0953"/>
    <w:rsid w:val="006C09E6"/>
    <w:rsid w:val="006C0D8C"/>
    <w:rsid w:val="006C1030"/>
    <w:rsid w:val="006C137E"/>
    <w:rsid w:val="006C169D"/>
    <w:rsid w:val="006C1C98"/>
    <w:rsid w:val="006C25A5"/>
    <w:rsid w:val="006C3698"/>
    <w:rsid w:val="006C3BBF"/>
    <w:rsid w:val="006C3EB2"/>
    <w:rsid w:val="006C4434"/>
    <w:rsid w:val="006C79C4"/>
    <w:rsid w:val="006D158C"/>
    <w:rsid w:val="006D171E"/>
    <w:rsid w:val="006D2529"/>
    <w:rsid w:val="006D3D24"/>
    <w:rsid w:val="006D5057"/>
    <w:rsid w:val="006D71B4"/>
    <w:rsid w:val="006D72A8"/>
    <w:rsid w:val="006D7C2C"/>
    <w:rsid w:val="006E0ACE"/>
    <w:rsid w:val="006E0B03"/>
    <w:rsid w:val="006E1110"/>
    <w:rsid w:val="006E1EAF"/>
    <w:rsid w:val="006E2FD3"/>
    <w:rsid w:val="006E4733"/>
    <w:rsid w:val="006E5676"/>
    <w:rsid w:val="006E7FC1"/>
    <w:rsid w:val="006F26D2"/>
    <w:rsid w:val="006F2998"/>
    <w:rsid w:val="006F3184"/>
    <w:rsid w:val="006F31A3"/>
    <w:rsid w:val="006F3E30"/>
    <w:rsid w:val="006F42E7"/>
    <w:rsid w:val="006F5772"/>
    <w:rsid w:val="006F6A0F"/>
    <w:rsid w:val="006F6F93"/>
    <w:rsid w:val="006F7F1A"/>
    <w:rsid w:val="00702A58"/>
    <w:rsid w:val="007040F4"/>
    <w:rsid w:val="00704DBD"/>
    <w:rsid w:val="007058A8"/>
    <w:rsid w:val="007062C6"/>
    <w:rsid w:val="00707482"/>
    <w:rsid w:val="00711377"/>
    <w:rsid w:val="0071198C"/>
    <w:rsid w:val="0071234A"/>
    <w:rsid w:val="00713B7C"/>
    <w:rsid w:val="00713F41"/>
    <w:rsid w:val="0071551F"/>
    <w:rsid w:val="00715F0F"/>
    <w:rsid w:val="00717862"/>
    <w:rsid w:val="00720C8E"/>
    <w:rsid w:val="00720D48"/>
    <w:rsid w:val="007231B2"/>
    <w:rsid w:val="007238CE"/>
    <w:rsid w:val="00725AAF"/>
    <w:rsid w:val="00725CEE"/>
    <w:rsid w:val="007273B8"/>
    <w:rsid w:val="007301A6"/>
    <w:rsid w:val="007326C7"/>
    <w:rsid w:val="00732972"/>
    <w:rsid w:val="00732D26"/>
    <w:rsid w:val="00732F34"/>
    <w:rsid w:val="007335AD"/>
    <w:rsid w:val="00737205"/>
    <w:rsid w:val="00740239"/>
    <w:rsid w:val="007405EA"/>
    <w:rsid w:val="00740CA6"/>
    <w:rsid w:val="00744825"/>
    <w:rsid w:val="00745105"/>
    <w:rsid w:val="00745CC1"/>
    <w:rsid w:val="00746C79"/>
    <w:rsid w:val="00747C52"/>
    <w:rsid w:val="00750008"/>
    <w:rsid w:val="00753AF2"/>
    <w:rsid w:val="00754033"/>
    <w:rsid w:val="00754BF6"/>
    <w:rsid w:val="00754DE8"/>
    <w:rsid w:val="00755540"/>
    <w:rsid w:val="0075578F"/>
    <w:rsid w:val="00755C46"/>
    <w:rsid w:val="00760DB6"/>
    <w:rsid w:val="00760E5F"/>
    <w:rsid w:val="007614C7"/>
    <w:rsid w:val="00761A5B"/>
    <w:rsid w:val="007641F4"/>
    <w:rsid w:val="007647A5"/>
    <w:rsid w:val="0076494D"/>
    <w:rsid w:val="0076610A"/>
    <w:rsid w:val="007662AA"/>
    <w:rsid w:val="00766C3E"/>
    <w:rsid w:val="00767E5A"/>
    <w:rsid w:val="00771C5F"/>
    <w:rsid w:val="00773303"/>
    <w:rsid w:val="007738AE"/>
    <w:rsid w:val="007749B2"/>
    <w:rsid w:val="00774B38"/>
    <w:rsid w:val="00782269"/>
    <w:rsid w:val="00782425"/>
    <w:rsid w:val="00783928"/>
    <w:rsid w:val="00785A27"/>
    <w:rsid w:val="007867A2"/>
    <w:rsid w:val="007869CC"/>
    <w:rsid w:val="007920B6"/>
    <w:rsid w:val="00792B3B"/>
    <w:rsid w:val="007938E6"/>
    <w:rsid w:val="00794C3C"/>
    <w:rsid w:val="00795546"/>
    <w:rsid w:val="007973ED"/>
    <w:rsid w:val="007A2DBA"/>
    <w:rsid w:val="007A5724"/>
    <w:rsid w:val="007A624B"/>
    <w:rsid w:val="007A6C73"/>
    <w:rsid w:val="007A75FD"/>
    <w:rsid w:val="007B0910"/>
    <w:rsid w:val="007B1F10"/>
    <w:rsid w:val="007B2FEC"/>
    <w:rsid w:val="007B3743"/>
    <w:rsid w:val="007B5033"/>
    <w:rsid w:val="007B5C48"/>
    <w:rsid w:val="007C24C6"/>
    <w:rsid w:val="007C3BD1"/>
    <w:rsid w:val="007C562E"/>
    <w:rsid w:val="007C5E07"/>
    <w:rsid w:val="007C5EFF"/>
    <w:rsid w:val="007C7154"/>
    <w:rsid w:val="007C74DC"/>
    <w:rsid w:val="007C79D5"/>
    <w:rsid w:val="007D1993"/>
    <w:rsid w:val="007D214A"/>
    <w:rsid w:val="007D221E"/>
    <w:rsid w:val="007D5012"/>
    <w:rsid w:val="007D6DE1"/>
    <w:rsid w:val="007D7052"/>
    <w:rsid w:val="007E41A6"/>
    <w:rsid w:val="007E4289"/>
    <w:rsid w:val="007E42CC"/>
    <w:rsid w:val="007E42FF"/>
    <w:rsid w:val="007E5BA2"/>
    <w:rsid w:val="007E6375"/>
    <w:rsid w:val="007E6A3C"/>
    <w:rsid w:val="007E75AF"/>
    <w:rsid w:val="007F02A6"/>
    <w:rsid w:val="007F0613"/>
    <w:rsid w:val="007F0693"/>
    <w:rsid w:val="007F0F21"/>
    <w:rsid w:val="007F21F9"/>
    <w:rsid w:val="007F2673"/>
    <w:rsid w:val="007F32C6"/>
    <w:rsid w:val="007F35D2"/>
    <w:rsid w:val="007F4E98"/>
    <w:rsid w:val="007F5369"/>
    <w:rsid w:val="00801B64"/>
    <w:rsid w:val="00802005"/>
    <w:rsid w:val="00802D73"/>
    <w:rsid w:val="00803032"/>
    <w:rsid w:val="008037C3"/>
    <w:rsid w:val="00803CB9"/>
    <w:rsid w:val="00806A1A"/>
    <w:rsid w:val="00806D78"/>
    <w:rsid w:val="00810FA2"/>
    <w:rsid w:val="008121FF"/>
    <w:rsid w:val="0081491B"/>
    <w:rsid w:val="00814CDA"/>
    <w:rsid w:val="008157AF"/>
    <w:rsid w:val="00815AEF"/>
    <w:rsid w:val="00817BFD"/>
    <w:rsid w:val="00817CB3"/>
    <w:rsid w:val="0082070F"/>
    <w:rsid w:val="00821BC3"/>
    <w:rsid w:val="00825B50"/>
    <w:rsid w:val="00827414"/>
    <w:rsid w:val="0083180E"/>
    <w:rsid w:val="008326CD"/>
    <w:rsid w:val="00832F33"/>
    <w:rsid w:val="00834720"/>
    <w:rsid w:val="00836B14"/>
    <w:rsid w:val="00837722"/>
    <w:rsid w:val="00842FAA"/>
    <w:rsid w:val="008459E7"/>
    <w:rsid w:val="008461C8"/>
    <w:rsid w:val="00847CEB"/>
    <w:rsid w:val="00850EDE"/>
    <w:rsid w:val="00851B08"/>
    <w:rsid w:val="00852D20"/>
    <w:rsid w:val="0085323B"/>
    <w:rsid w:val="00855B9A"/>
    <w:rsid w:val="00856A18"/>
    <w:rsid w:val="008577F9"/>
    <w:rsid w:val="00857D46"/>
    <w:rsid w:val="00860A80"/>
    <w:rsid w:val="00860FCF"/>
    <w:rsid w:val="0086355E"/>
    <w:rsid w:val="00863923"/>
    <w:rsid w:val="00863B93"/>
    <w:rsid w:val="00863BEB"/>
    <w:rsid w:val="00864393"/>
    <w:rsid w:val="008650F4"/>
    <w:rsid w:val="00865722"/>
    <w:rsid w:val="00865E18"/>
    <w:rsid w:val="008660D9"/>
    <w:rsid w:val="0086797F"/>
    <w:rsid w:val="00870108"/>
    <w:rsid w:val="00870D18"/>
    <w:rsid w:val="008711F0"/>
    <w:rsid w:val="00873ECC"/>
    <w:rsid w:val="008752E3"/>
    <w:rsid w:val="00876329"/>
    <w:rsid w:val="00877FC4"/>
    <w:rsid w:val="00883780"/>
    <w:rsid w:val="00883CAE"/>
    <w:rsid w:val="00885D58"/>
    <w:rsid w:val="00886CC4"/>
    <w:rsid w:val="0088772E"/>
    <w:rsid w:val="00887B2A"/>
    <w:rsid w:val="0089049A"/>
    <w:rsid w:val="00891E76"/>
    <w:rsid w:val="00891F18"/>
    <w:rsid w:val="0089231B"/>
    <w:rsid w:val="00892581"/>
    <w:rsid w:val="00894076"/>
    <w:rsid w:val="0089460E"/>
    <w:rsid w:val="00896153"/>
    <w:rsid w:val="008962F4"/>
    <w:rsid w:val="00896A15"/>
    <w:rsid w:val="008978E1"/>
    <w:rsid w:val="008978FB"/>
    <w:rsid w:val="00897A2D"/>
    <w:rsid w:val="008A00D9"/>
    <w:rsid w:val="008A14E5"/>
    <w:rsid w:val="008A26DD"/>
    <w:rsid w:val="008A343E"/>
    <w:rsid w:val="008A485E"/>
    <w:rsid w:val="008A49BB"/>
    <w:rsid w:val="008A6B2C"/>
    <w:rsid w:val="008B1ED4"/>
    <w:rsid w:val="008B275B"/>
    <w:rsid w:val="008B2AB7"/>
    <w:rsid w:val="008B36EC"/>
    <w:rsid w:val="008B50B8"/>
    <w:rsid w:val="008B534A"/>
    <w:rsid w:val="008B5498"/>
    <w:rsid w:val="008B6F2E"/>
    <w:rsid w:val="008B732C"/>
    <w:rsid w:val="008C1BAB"/>
    <w:rsid w:val="008C1C8E"/>
    <w:rsid w:val="008C26A6"/>
    <w:rsid w:val="008C2F64"/>
    <w:rsid w:val="008C53FA"/>
    <w:rsid w:val="008C5D04"/>
    <w:rsid w:val="008C6A13"/>
    <w:rsid w:val="008C7648"/>
    <w:rsid w:val="008C7712"/>
    <w:rsid w:val="008C7E40"/>
    <w:rsid w:val="008D11B1"/>
    <w:rsid w:val="008D150B"/>
    <w:rsid w:val="008D1CE7"/>
    <w:rsid w:val="008D1E40"/>
    <w:rsid w:val="008D3524"/>
    <w:rsid w:val="008D53B1"/>
    <w:rsid w:val="008D5BE0"/>
    <w:rsid w:val="008D7FC9"/>
    <w:rsid w:val="008E02C5"/>
    <w:rsid w:val="008E0433"/>
    <w:rsid w:val="008E11B6"/>
    <w:rsid w:val="008E24F9"/>
    <w:rsid w:val="008E25E2"/>
    <w:rsid w:val="008E365B"/>
    <w:rsid w:val="008E4561"/>
    <w:rsid w:val="008E4B66"/>
    <w:rsid w:val="008E772A"/>
    <w:rsid w:val="008E7962"/>
    <w:rsid w:val="008F0D9D"/>
    <w:rsid w:val="008F1042"/>
    <w:rsid w:val="008F2304"/>
    <w:rsid w:val="008F25A8"/>
    <w:rsid w:val="008F3E38"/>
    <w:rsid w:val="008F4739"/>
    <w:rsid w:val="008F52A7"/>
    <w:rsid w:val="008F6107"/>
    <w:rsid w:val="008F7894"/>
    <w:rsid w:val="00900AD6"/>
    <w:rsid w:val="00904116"/>
    <w:rsid w:val="00904351"/>
    <w:rsid w:val="009112C6"/>
    <w:rsid w:val="009116B7"/>
    <w:rsid w:val="0091175E"/>
    <w:rsid w:val="0091191F"/>
    <w:rsid w:val="00912E80"/>
    <w:rsid w:val="00912F6F"/>
    <w:rsid w:val="00913710"/>
    <w:rsid w:val="00913AC6"/>
    <w:rsid w:val="0091430F"/>
    <w:rsid w:val="009147FC"/>
    <w:rsid w:val="00915C43"/>
    <w:rsid w:val="0091754D"/>
    <w:rsid w:val="00920390"/>
    <w:rsid w:val="00922C4C"/>
    <w:rsid w:val="00923B83"/>
    <w:rsid w:val="009259EB"/>
    <w:rsid w:val="0092653E"/>
    <w:rsid w:val="00926A98"/>
    <w:rsid w:val="009301A8"/>
    <w:rsid w:val="00931304"/>
    <w:rsid w:val="00932057"/>
    <w:rsid w:val="0093212F"/>
    <w:rsid w:val="009331FC"/>
    <w:rsid w:val="00933919"/>
    <w:rsid w:val="00935D8A"/>
    <w:rsid w:val="00943059"/>
    <w:rsid w:val="009453A7"/>
    <w:rsid w:val="0094665D"/>
    <w:rsid w:val="00947284"/>
    <w:rsid w:val="009502D9"/>
    <w:rsid w:val="0095076B"/>
    <w:rsid w:val="00950C6B"/>
    <w:rsid w:val="00951A2E"/>
    <w:rsid w:val="009522A7"/>
    <w:rsid w:val="009545E7"/>
    <w:rsid w:val="00954769"/>
    <w:rsid w:val="00954980"/>
    <w:rsid w:val="009554C4"/>
    <w:rsid w:val="00955561"/>
    <w:rsid w:val="00955B8F"/>
    <w:rsid w:val="009573D7"/>
    <w:rsid w:val="00957D34"/>
    <w:rsid w:val="0096025C"/>
    <w:rsid w:val="00960724"/>
    <w:rsid w:val="0096366E"/>
    <w:rsid w:val="00965310"/>
    <w:rsid w:val="0096666B"/>
    <w:rsid w:val="0096692C"/>
    <w:rsid w:val="009671CD"/>
    <w:rsid w:val="00967B48"/>
    <w:rsid w:val="00971DDF"/>
    <w:rsid w:val="00971F4D"/>
    <w:rsid w:val="00972AD5"/>
    <w:rsid w:val="00973A9F"/>
    <w:rsid w:val="00973BE3"/>
    <w:rsid w:val="00973FE7"/>
    <w:rsid w:val="00975997"/>
    <w:rsid w:val="00976E15"/>
    <w:rsid w:val="00981825"/>
    <w:rsid w:val="009834E8"/>
    <w:rsid w:val="009836A9"/>
    <w:rsid w:val="009843B4"/>
    <w:rsid w:val="00984588"/>
    <w:rsid w:val="00985689"/>
    <w:rsid w:val="00985EEC"/>
    <w:rsid w:val="00986083"/>
    <w:rsid w:val="00986152"/>
    <w:rsid w:val="00986DAF"/>
    <w:rsid w:val="00987611"/>
    <w:rsid w:val="00990237"/>
    <w:rsid w:val="009913D6"/>
    <w:rsid w:val="009937B3"/>
    <w:rsid w:val="009938AD"/>
    <w:rsid w:val="009959F4"/>
    <w:rsid w:val="009971B7"/>
    <w:rsid w:val="009A0C25"/>
    <w:rsid w:val="009A1042"/>
    <w:rsid w:val="009A2C3B"/>
    <w:rsid w:val="009A3260"/>
    <w:rsid w:val="009A3E8E"/>
    <w:rsid w:val="009A4914"/>
    <w:rsid w:val="009A5775"/>
    <w:rsid w:val="009A6704"/>
    <w:rsid w:val="009A69D8"/>
    <w:rsid w:val="009A6CD2"/>
    <w:rsid w:val="009A7DF8"/>
    <w:rsid w:val="009B0B64"/>
    <w:rsid w:val="009B0C2C"/>
    <w:rsid w:val="009B0D0C"/>
    <w:rsid w:val="009B0E3D"/>
    <w:rsid w:val="009B291A"/>
    <w:rsid w:val="009B32E5"/>
    <w:rsid w:val="009B47AD"/>
    <w:rsid w:val="009B70EC"/>
    <w:rsid w:val="009B7646"/>
    <w:rsid w:val="009C081E"/>
    <w:rsid w:val="009C0FC1"/>
    <w:rsid w:val="009C1878"/>
    <w:rsid w:val="009C28B9"/>
    <w:rsid w:val="009C2940"/>
    <w:rsid w:val="009C4489"/>
    <w:rsid w:val="009C4BB4"/>
    <w:rsid w:val="009C528C"/>
    <w:rsid w:val="009C61A6"/>
    <w:rsid w:val="009C64F8"/>
    <w:rsid w:val="009C6837"/>
    <w:rsid w:val="009D0AC2"/>
    <w:rsid w:val="009D31AA"/>
    <w:rsid w:val="009D3E1A"/>
    <w:rsid w:val="009D3F39"/>
    <w:rsid w:val="009D4E81"/>
    <w:rsid w:val="009D5D68"/>
    <w:rsid w:val="009D60A6"/>
    <w:rsid w:val="009D7B2F"/>
    <w:rsid w:val="009E07AE"/>
    <w:rsid w:val="009E0F6E"/>
    <w:rsid w:val="009E121F"/>
    <w:rsid w:val="009E495C"/>
    <w:rsid w:val="009E5529"/>
    <w:rsid w:val="009E6AE9"/>
    <w:rsid w:val="009F1088"/>
    <w:rsid w:val="009F1A2A"/>
    <w:rsid w:val="009F5F52"/>
    <w:rsid w:val="009F6B55"/>
    <w:rsid w:val="009F72EB"/>
    <w:rsid w:val="009F79AE"/>
    <w:rsid w:val="009F7A26"/>
    <w:rsid w:val="00A00326"/>
    <w:rsid w:val="00A01E4F"/>
    <w:rsid w:val="00A03926"/>
    <w:rsid w:val="00A06240"/>
    <w:rsid w:val="00A10278"/>
    <w:rsid w:val="00A10342"/>
    <w:rsid w:val="00A12CDD"/>
    <w:rsid w:val="00A12DD6"/>
    <w:rsid w:val="00A12E17"/>
    <w:rsid w:val="00A13759"/>
    <w:rsid w:val="00A1498C"/>
    <w:rsid w:val="00A15206"/>
    <w:rsid w:val="00A16496"/>
    <w:rsid w:val="00A17211"/>
    <w:rsid w:val="00A20994"/>
    <w:rsid w:val="00A21892"/>
    <w:rsid w:val="00A239C2"/>
    <w:rsid w:val="00A240C8"/>
    <w:rsid w:val="00A257E8"/>
    <w:rsid w:val="00A2671B"/>
    <w:rsid w:val="00A3071E"/>
    <w:rsid w:val="00A31257"/>
    <w:rsid w:val="00A32241"/>
    <w:rsid w:val="00A33671"/>
    <w:rsid w:val="00A33FE7"/>
    <w:rsid w:val="00A34EAC"/>
    <w:rsid w:val="00A35A83"/>
    <w:rsid w:val="00A40F4C"/>
    <w:rsid w:val="00A41089"/>
    <w:rsid w:val="00A41815"/>
    <w:rsid w:val="00A4201A"/>
    <w:rsid w:val="00A4225C"/>
    <w:rsid w:val="00A423DA"/>
    <w:rsid w:val="00A456CF"/>
    <w:rsid w:val="00A46364"/>
    <w:rsid w:val="00A46EA4"/>
    <w:rsid w:val="00A477B4"/>
    <w:rsid w:val="00A4791E"/>
    <w:rsid w:val="00A47BF5"/>
    <w:rsid w:val="00A5320A"/>
    <w:rsid w:val="00A544FD"/>
    <w:rsid w:val="00A54702"/>
    <w:rsid w:val="00A548B9"/>
    <w:rsid w:val="00A55BA1"/>
    <w:rsid w:val="00A5618C"/>
    <w:rsid w:val="00A57810"/>
    <w:rsid w:val="00A57D8E"/>
    <w:rsid w:val="00A60864"/>
    <w:rsid w:val="00A62317"/>
    <w:rsid w:val="00A62C78"/>
    <w:rsid w:val="00A63C72"/>
    <w:rsid w:val="00A63EB7"/>
    <w:rsid w:val="00A651BF"/>
    <w:rsid w:val="00A66D6C"/>
    <w:rsid w:val="00A6794B"/>
    <w:rsid w:val="00A703FC"/>
    <w:rsid w:val="00A71585"/>
    <w:rsid w:val="00A737A4"/>
    <w:rsid w:val="00A73B69"/>
    <w:rsid w:val="00A7422E"/>
    <w:rsid w:val="00A7488C"/>
    <w:rsid w:val="00A76CC6"/>
    <w:rsid w:val="00A76E3C"/>
    <w:rsid w:val="00A77492"/>
    <w:rsid w:val="00A7764B"/>
    <w:rsid w:val="00A80624"/>
    <w:rsid w:val="00A81874"/>
    <w:rsid w:val="00A82A31"/>
    <w:rsid w:val="00A84E3E"/>
    <w:rsid w:val="00A858B3"/>
    <w:rsid w:val="00A87B20"/>
    <w:rsid w:val="00A90EEC"/>
    <w:rsid w:val="00A92010"/>
    <w:rsid w:val="00A92FB1"/>
    <w:rsid w:val="00A93A9E"/>
    <w:rsid w:val="00A9412D"/>
    <w:rsid w:val="00A967B5"/>
    <w:rsid w:val="00A96B78"/>
    <w:rsid w:val="00A97D59"/>
    <w:rsid w:val="00AA0815"/>
    <w:rsid w:val="00AA162F"/>
    <w:rsid w:val="00AA4698"/>
    <w:rsid w:val="00AA4E32"/>
    <w:rsid w:val="00AA5FD4"/>
    <w:rsid w:val="00AA6250"/>
    <w:rsid w:val="00AA6ED0"/>
    <w:rsid w:val="00AB058E"/>
    <w:rsid w:val="00AB0B91"/>
    <w:rsid w:val="00AB1260"/>
    <w:rsid w:val="00AB31DD"/>
    <w:rsid w:val="00AB748C"/>
    <w:rsid w:val="00AB75CE"/>
    <w:rsid w:val="00AC198A"/>
    <w:rsid w:val="00AC219F"/>
    <w:rsid w:val="00AC49ED"/>
    <w:rsid w:val="00AC5953"/>
    <w:rsid w:val="00AC5D14"/>
    <w:rsid w:val="00AD0B46"/>
    <w:rsid w:val="00AD18C3"/>
    <w:rsid w:val="00AD3A3B"/>
    <w:rsid w:val="00AD43EC"/>
    <w:rsid w:val="00AD49A1"/>
    <w:rsid w:val="00AD4D93"/>
    <w:rsid w:val="00AD5B8D"/>
    <w:rsid w:val="00AD5D7B"/>
    <w:rsid w:val="00AD6D3F"/>
    <w:rsid w:val="00AD74BD"/>
    <w:rsid w:val="00AE1FAD"/>
    <w:rsid w:val="00AE2F1D"/>
    <w:rsid w:val="00AE42FF"/>
    <w:rsid w:val="00AE4877"/>
    <w:rsid w:val="00AE4A02"/>
    <w:rsid w:val="00AE5AF9"/>
    <w:rsid w:val="00AE639B"/>
    <w:rsid w:val="00AE7E2E"/>
    <w:rsid w:val="00AF229B"/>
    <w:rsid w:val="00AF365D"/>
    <w:rsid w:val="00AF4923"/>
    <w:rsid w:val="00AF6CD0"/>
    <w:rsid w:val="00AF7E6A"/>
    <w:rsid w:val="00B01A35"/>
    <w:rsid w:val="00B040DA"/>
    <w:rsid w:val="00B046C3"/>
    <w:rsid w:val="00B0507D"/>
    <w:rsid w:val="00B0641E"/>
    <w:rsid w:val="00B073B9"/>
    <w:rsid w:val="00B07C28"/>
    <w:rsid w:val="00B10D75"/>
    <w:rsid w:val="00B1254D"/>
    <w:rsid w:val="00B1310B"/>
    <w:rsid w:val="00B14483"/>
    <w:rsid w:val="00B14DD7"/>
    <w:rsid w:val="00B158C4"/>
    <w:rsid w:val="00B17033"/>
    <w:rsid w:val="00B1707A"/>
    <w:rsid w:val="00B17E51"/>
    <w:rsid w:val="00B20614"/>
    <w:rsid w:val="00B20654"/>
    <w:rsid w:val="00B2085A"/>
    <w:rsid w:val="00B213BD"/>
    <w:rsid w:val="00B2209E"/>
    <w:rsid w:val="00B22A19"/>
    <w:rsid w:val="00B2394F"/>
    <w:rsid w:val="00B242D4"/>
    <w:rsid w:val="00B24848"/>
    <w:rsid w:val="00B2620C"/>
    <w:rsid w:val="00B2639F"/>
    <w:rsid w:val="00B2644A"/>
    <w:rsid w:val="00B270FD"/>
    <w:rsid w:val="00B2756A"/>
    <w:rsid w:val="00B32776"/>
    <w:rsid w:val="00B32CD2"/>
    <w:rsid w:val="00B34439"/>
    <w:rsid w:val="00B35725"/>
    <w:rsid w:val="00B35B73"/>
    <w:rsid w:val="00B35E05"/>
    <w:rsid w:val="00B37D26"/>
    <w:rsid w:val="00B37EE9"/>
    <w:rsid w:val="00B42E42"/>
    <w:rsid w:val="00B45BF0"/>
    <w:rsid w:val="00B46205"/>
    <w:rsid w:val="00B50A77"/>
    <w:rsid w:val="00B556EB"/>
    <w:rsid w:val="00B55CDC"/>
    <w:rsid w:val="00B5666D"/>
    <w:rsid w:val="00B573C7"/>
    <w:rsid w:val="00B57527"/>
    <w:rsid w:val="00B57D0C"/>
    <w:rsid w:val="00B57E25"/>
    <w:rsid w:val="00B61141"/>
    <w:rsid w:val="00B62EFF"/>
    <w:rsid w:val="00B63302"/>
    <w:rsid w:val="00B645FA"/>
    <w:rsid w:val="00B65E92"/>
    <w:rsid w:val="00B673B1"/>
    <w:rsid w:val="00B677E7"/>
    <w:rsid w:val="00B7008D"/>
    <w:rsid w:val="00B70166"/>
    <w:rsid w:val="00B71AE7"/>
    <w:rsid w:val="00B71E20"/>
    <w:rsid w:val="00B71FC5"/>
    <w:rsid w:val="00B73CA0"/>
    <w:rsid w:val="00B743A2"/>
    <w:rsid w:val="00B77E8D"/>
    <w:rsid w:val="00B8028F"/>
    <w:rsid w:val="00B8095E"/>
    <w:rsid w:val="00B81492"/>
    <w:rsid w:val="00B82F0A"/>
    <w:rsid w:val="00B9063F"/>
    <w:rsid w:val="00B90BDB"/>
    <w:rsid w:val="00B92295"/>
    <w:rsid w:val="00B92430"/>
    <w:rsid w:val="00B9250A"/>
    <w:rsid w:val="00B92AF3"/>
    <w:rsid w:val="00B941A4"/>
    <w:rsid w:val="00B94D31"/>
    <w:rsid w:val="00B95961"/>
    <w:rsid w:val="00B95C3C"/>
    <w:rsid w:val="00B96DD7"/>
    <w:rsid w:val="00B972F9"/>
    <w:rsid w:val="00BA1215"/>
    <w:rsid w:val="00BA29C8"/>
    <w:rsid w:val="00BA4FE0"/>
    <w:rsid w:val="00BA5ADE"/>
    <w:rsid w:val="00BA6028"/>
    <w:rsid w:val="00BA6EA8"/>
    <w:rsid w:val="00BA7BD9"/>
    <w:rsid w:val="00BB00E3"/>
    <w:rsid w:val="00BB0A15"/>
    <w:rsid w:val="00BB5815"/>
    <w:rsid w:val="00BB59EF"/>
    <w:rsid w:val="00BB624A"/>
    <w:rsid w:val="00BB6A5B"/>
    <w:rsid w:val="00BC01C0"/>
    <w:rsid w:val="00BC0E0C"/>
    <w:rsid w:val="00BC12E6"/>
    <w:rsid w:val="00BC14BB"/>
    <w:rsid w:val="00BC1C1C"/>
    <w:rsid w:val="00BC23F0"/>
    <w:rsid w:val="00BC259E"/>
    <w:rsid w:val="00BC2DA5"/>
    <w:rsid w:val="00BC341F"/>
    <w:rsid w:val="00BC3638"/>
    <w:rsid w:val="00BC3E36"/>
    <w:rsid w:val="00BC4523"/>
    <w:rsid w:val="00BC5032"/>
    <w:rsid w:val="00BC5E1E"/>
    <w:rsid w:val="00BC6FD5"/>
    <w:rsid w:val="00BD004A"/>
    <w:rsid w:val="00BD00D8"/>
    <w:rsid w:val="00BD0852"/>
    <w:rsid w:val="00BD1245"/>
    <w:rsid w:val="00BD1832"/>
    <w:rsid w:val="00BD31FA"/>
    <w:rsid w:val="00BD3260"/>
    <w:rsid w:val="00BE004B"/>
    <w:rsid w:val="00BE20A1"/>
    <w:rsid w:val="00BE2502"/>
    <w:rsid w:val="00BE437A"/>
    <w:rsid w:val="00BE5580"/>
    <w:rsid w:val="00BE6D42"/>
    <w:rsid w:val="00BE6FA6"/>
    <w:rsid w:val="00BF0246"/>
    <w:rsid w:val="00BF04AA"/>
    <w:rsid w:val="00BF0512"/>
    <w:rsid w:val="00BF1779"/>
    <w:rsid w:val="00BF20F8"/>
    <w:rsid w:val="00BF22C7"/>
    <w:rsid w:val="00BF278E"/>
    <w:rsid w:val="00BF3C02"/>
    <w:rsid w:val="00BF3D20"/>
    <w:rsid w:val="00BF4E11"/>
    <w:rsid w:val="00BF730A"/>
    <w:rsid w:val="00BF769C"/>
    <w:rsid w:val="00C000B7"/>
    <w:rsid w:val="00C0067A"/>
    <w:rsid w:val="00C010E9"/>
    <w:rsid w:val="00C02599"/>
    <w:rsid w:val="00C02B21"/>
    <w:rsid w:val="00C05C43"/>
    <w:rsid w:val="00C0612F"/>
    <w:rsid w:val="00C07B00"/>
    <w:rsid w:val="00C10224"/>
    <w:rsid w:val="00C16896"/>
    <w:rsid w:val="00C17B78"/>
    <w:rsid w:val="00C2145A"/>
    <w:rsid w:val="00C2325E"/>
    <w:rsid w:val="00C251E9"/>
    <w:rsid w:val="00C25C2B"/>
    <w:rsid w:val="00C25E47"/>
    <w:rsid w:val="00C27258"/>
    <w:rsid w:val="00C3049E"/>
    <w:rsid w:val="00C3099D"/>
    <w:rsid w:val="00C318B0"/>
    <w:rsid w:val="00C3470A"/>
    <w:rsid w:val="00C34C10"/>
    <w:rsid w:val="00C36D16"/>
    <w:rsid w:val="00C37E26"/>
    <w:rsid w:val="00C37E76"/>
    <w:rsid w:val="00C4054D"/>
    <w:rsid w:val="00C410A4"/>
    <w:rsid w:val="00C41F37"/>
    <w:rsid w:val="00C42B05"/>
    <w:rsid w:val="00C42DD1"/>
    <w:rsid w:val="00C43FF1"/>
    <w:rsid w:val="00C4460E"/>
    <w:rsid w:val="00C45248"/>
    <w:rsid w:val="00C47919"/>
    <w:rsid w:val="00C50ACF"/>
    <w:rsid w:val="00C5105A"/>
    <w:rsid w:val="00C511C8"/>
    <w:rsid w:val="00C513CD"/>
    <w:rsid w:val="00C52098"/>
    <w:rsid w:val="00C52A61"/>
    <w:rsid w:val="00C55243"/>
    <w:rsid w:val="00C5587D"/>
    <w:rsid w:val="00C56182"/>
    <w:rsid w:val="00C60BAB"/>
    <w:rsid w:val="00C61C1E"/>
    <w:rsid w:val="00C6224D"/>
    <w:rsid w:val="00C628BC"/>
    <w:rsid w:val="00C632D5"/>
    <w:rsid w:val="00C63C07"/>
    <w:rsid w:val="00C6414A"/>
    <w:rsid w:val="00C6554F"/>
    <w:rsid w:val="00C67E7C"/>
    <w:rsid w:val="00C67F50"/>
    <w:rsid w:val="00C71F9C"/>
    <w:rsid w:val="00C74381"/>
    <w:rsid w:val="00C746E0"/>
    <w:rsid w:val="00C74FC1"/>
    <w:rsid w:val="00C75A10"/>
    <w:rsid w:val="00C75C03"/>
    <w:rsid w:val="00C7626F"/>
    <w:rsid w:val="00C77154"/>
    <w:rsid w:val="00C80119"/>
    <w:rsid w:val="00C8030F"/>
    <w:rsid w:val="00C8095B"/>
    <w:rsid w:val="00C83672"/>
    <w:rsid w:val="00C840E4"/>
    <w:rsid w:val="00C84761"/>
    <w:rsid w:val="00C86DB0"/>
    <w:rsid w:val="00C87B9B"/>
    <w:rsid w:val="00C87EB0"/>
    <w:rsid w:val="00C90E8D"/>
    <w:rsid w:val="00C90F90"/>
    <w:rsid w:val="00C912DD"/>
    <w:rsid w:val="00C91548"/>
    <w:rsid w:val="00C91EEE"/>
    <w:rsid w:val="00C93164"/>
    <w:rsid w:val="00C95606"/>
    <w:rsid w:val="00C95802"/>
    <w:rsid w:val="00C95BB1"/>
    <w:rsid w:val="00C96E7F"/>
    <w:rsid w:val="00CA1057"/>
    <w:rsid w:val="00CA4CC0"/>
    <w:rsid w:val="00CA5F97"/>
    <w:rsid w:val="00CA7424"/>
    <w:rsid w:val="00CA76D9"/>
    <w:rsid w:val="00CB039F"/>
    <w:rsid w:val="00CB0749"/>
    <w:rsid w:val="00CB0DB5"/>
    <w:rsid w:val="00CB13AD"/>
    <w:rsid w:val="00CB29C6"/>
    <w:rsid w:val="00CB2D5C"/>
    <w:rsid w:val="00CB2E07"/>
    <w:rsid w:val="00CB2E4F"/>
    <w:rsid w:val="00CB5008"/>
    <w:rsid w:val="00CB59E5"/>
    <w:rsid w:val="00CC0C71"/>
    <w:rsid w:val="00CC1B0F"/>
    <w:rsid w:val="00CC1BA4"/>
    <w:rsid w:val="00CC299F"/>
    <w:rsid w:val="00CC2F1B"/>
    <w:rsid w:val="00CC389F"/>
    <w:rsid w:val="00CC615D"/>
    <w:rsid w:val="00CC6492"/>
    <w:rsid w:val="00CC66CF"/>
    <w:rsid w:val="00CC6E1A"/>
    <w:rsid w:val="00CC7A01"/>
    <w:rsid w:val="00CC7C48"/>
    <w:rsid w:val="00CD23F8"/>
    <w:rsid w:val="00CD3672"/>
    <w:rsid w:val="00CD4162"/>
    <w:rsid w:val="00CD4DDC"/>
    <w:rsid w:val="00CD5BE4"/>
    <w:rsid w:val="00CD74D2"/>
    <w:rsid w:val="00CD7CDB"/>
    <w:rsid w:val="00CE0F81"/>
    <w:rsid w:val="00CE27A0"/>
    <w:rsid w:val="00CE310E"/>
    <w:rsid w:val="00CE358E"/>
    <w:rsid w:val="00CE4733"/>
    <w:rsid w:val="00CE4B89"/>
    <w:rsid w:val="00CE4C65"/>
    <w:rsid w:val="00CE4CBD"/>
    <w:rsid w:val="00CE4DA2"/>
    <w:rsid w:val="00CE5CF9"/>
    <w:rsid w:val="00CE60CC"/>
    <w:rsid w:val="00CE6D0B"/>
    <w:rsid w:val="00CF05E6"/>
    <w:rsid w:val="00CF1A26"/>
    <w:rsid w:val="00CF216E"/>
    <w:rsid w:val="00CF3D81"/>
    <w:rsid w:val="00CF481C"/>
    <w:rsid w:val="00CF4F86"/>
    <w:rsid w:val="00CF6A71"/>
    <w:rsid w:val="00D0050D"/>
    <w:rsid w:val="00D00DC2"/>
    <w:rsid w:val="00D02692"/>
    <w:rsid w:val="00D031CD"/>
    <w:rsid w:val="00D033E0"/>
    <w:rsid w:val="00D03542"/>
    <w:rsid w:val="00D03DFD"/>
    <w:rsid w:val="00D04971"/>
    <w:rsid w:val="00D05259"/>
    <w:rsid w:val="00D055DF"/>
    <w:rsid w:val="00D05781"/>
    <w:rsid w:val="00D06E5D"/>
    <w:rsid w:val="00D07DE7"/>
    <w:rsid w:val="00D105D5"/>
    <w:rsid w:val="00D140D1"/>
    <w:rsid w:val="00D14243"/>
    <w:rsid w:val="00D15847"/>
    <w:rsid w:val="00D158F4"/>
    <w:rsid w:val="00D179EB"/>
    <w:rsid w:val="00D2693E"/>
    <w:rsid w:val="00D27610"/>
    <w:rsid w:val="00D27871"/>
    <w:rsid w:val="00D30E4F"/>
    <w:rsid w:val="00D3112E"/>
    <w:rsid w:val="00D324D4"/>
    <w:rsid w:val="00D33483"/>
    <w:rsid w:val="00D3384E"/>
    <w:rsid w:val="00D33E10"/>
    <w:rsid w:val="00D36FAA"/>
    <w:rsid w:val="00D379E0"/>
    <w:rsid w:val="00D40F1A"/>
    <w:rsid w:val="00D41EC9"/>
    <w:rsid w:val="00D42D82"/>
    <w:rsid w:val="00D43312"/>
    <w:rsid w:val="00D43776"/>
    <w:rsid w:val="00D44AC7"/>
    <w:rsid w:val="00D44BC8"/>
    <w:rsid w:val="00D44DE7"/>
    <w:rsid w:val="00D45E7A"/>
    <w:rsid w:val="00D46757"/>
    <w:rsid w:val="00D46841"/>
    <w:rsid w:val="00D50626"/>
    <w:rsid w:val="00D508C7"/>
    <w:rsid w:val="00D54308"/>
    <w:rsid w:val="00D54A88"/>
    <w:rsid w:val="00D5711B"/>
    <w:rsid w:val="00D61DB7"/>
    <w:rsid w:val="00D63846"/>
    <w:rsid w:val="00D6463F"/>
    <w:rsid w:val="00D64B7C"/>
    <w:rsid w:val="00D6610F"/>
    <w:rsid w:val="00D70544"/>
    <w:rsid w:val="00D70E0F"/>
    <w:rsid w:val="00D71377"/>
    <w:rsid w:val="00D71E0E"/>
    <w:rsid w:val="00D72C86"/>
    <w:rsid w:val="00D73022"/>
    <w:rsid w:val="00D73DE4"/>
    <w:rsid w:val="00D743CB"/>
    <w:rsid w:val="00D74B58"/>
    <w:rsid w:val="00D75F6E"/>
    <w:rsid w:val="00D7638F"/>
    <w:rsid w:val="00D77CEB"/>
    <w:rsid w:val="00D803DD"/>
    <w:rsid w:val="00D81C2C"/>
    <w:rsid w:val="00D81DF9"/>
    <w:rsid w:val="00D844D2"/>
    <w:rsid w:val="00D851D2"/>
    <w:rsid w:val="00D86416"/>
    <w:rsid w:val="00D9047F"/>
    <w:rsid w:val="00D91D8D"/>
    <w:rsid w:val="00D92272"/>
    <w:rsid w:val="00D94638"/>
    <w:rsid w:val="00D9665A"/>
    <w:rsid w:val="00D96F82"/>
    <w:rsid w:val="00D97DA3"/>
    <w:rsid w:val="00DA13DB"/>
    <w:rsid w:val="00DA167F"/>
    <w:rsid w:val="00DA29CF"/>
    <w:rsid w:val="00DA2CEE"/>
    <w:rsid w:val="00DA36E0"/>
    <w:rsid w:val="00DA49DB"/>
    <w:rsid w:val="00DA50EB"/>
    <w:rsid w:val="00DA62F2"/>
    <w:rsid w:val="00DA71D4"/>
    <w:rsid w:val="00DB3017"/>
    <w:rsid w:val="00DB30B2"/>
    <w:rsid w:val="00DB3417"/>
    <w:rsid w:val="00DB37DF"/>
    <w:rsid w:val="00DB4271"/>
    <w:rsid w:val="00DB6B45"/>
    <w:rsid w:val="00DC03B0"/>
    <w:rsid w:val="00DC12C8"/>
    <w:rsid w:val="00DC193A"/>
    <w:rsid w:val="00DC40CD"/>
    <w:rsid w:val="00DC45D4"/>
    <w:rsid w:val="00DC4968"/>
    <w:rsid w:val="00DC50D5"/>
    <w:rsid w:val="00DC5A52"/>
    <w:rsid w:val="00DC6F44"/>
    <w:rsid w:val="00DC7796"/>
    <w:rsid w:val="00DD037B"/>
    <w:rsid w:val="00DD2266"/>
    <w:rsid w:val="00DD262A"/>
    <w:rsid w:val="00DD2943"/>
    <w:rsid w:val="00DD2E07"/>
    <w:rsid w:val="00DD4E83"/>
    <w:rsid w:val="00DD5F6E"/>
    <w:rsid w:val="00DD7028"/>
    <w:rsid w:val="00DD7967"/>
    <w:rsid w:val="00DE2235"/>
    <w:rsid w:val="00DE3526"/>
    <w:rsid w:val="00DE3D89"/>
    <w:rsid w:val="00DE3E90"/>
    <w:rsid w:val="00DE63B5"/>
    <w:rsid w:val="00DE686E"/>
    <w:rsid w:val="00DE710F"/>
    <w:rsid w:val="00DE7196"/>
    <w:rsid w:val="00DE7470"/>
    <w:rsid w:val="00DE7C48"/>
    <w:rsid w:val="00DF0E65"/>
    <w:rsid w:val="00DF3EBA"/>
    <w:rsid w:val="00DF442A"/>
    <w:rsid w:val="00DF622C"/>
    <w:rsid w:val="00DF6379"/>
    <w:rsid w:val="00E0104F"/>
    <w:rsid w:val="00E016F2"/>
    <w:rsid w:val="00E03793"/>
    <w:rsid w:val="00E03AD2"/>
    <w:rsid w:val="00E06C89"/>
    <w:rsid w:val="00E06F37"/>
    <w:rsid w:val="00E07048"/>
    <w:rsid w:val="00E13B56"/>
    <w:rsid w:val="00E14554"/>
    <w:rsid w:val="00E14BDA"/>
    <w:rsid w:val="00E164C6"/>
    <w:rsid w:val="00E16EF3"/>
    <w:rsid w:val="00E171E1"/>
    <w:rsid w:val="00E17E76"/>
    <w:rsid w:val="00E20374"/>
    <w:rsid w:val="00E207EC"/>
    <w:rsid w:val="00E20FC1"/>
    <w:rsid w:val="00E235E1"/>
    <w:rsid w:val="00E23B84"/>
    <w:rsid w:val="00E24ED2"/>
    <w:rsid w:val="00E2525F"/>
    <w:rsid w:val="00E2694F"/>
    <w:rsid w:val="00E27041"/>
    <w:rsid w:val="00E27D62"/>
    <w:rsid w:val="00E304F4"/>
    <w:rsid w:val="00E31E21"/>
    <w:rsid w:val="00E31FC2"/>
    <w:rsid w:val="00E33F9A"/>
    <w:rsid w:val="00E34613"/>
    <w:rsid w:val="00E34D68"/>
    <w:rsid w:val="00E356F2"/>
    <w:rsid w:val="00E40096"/>
    <w:rsid w:val="00E40478"/>
    <w:rsid w:val="00E41269"/>
    <w:rsid w:val="00E42BF0"/>
    <w:rsid w:val="00E441E7"/>
    <w:rsid w:val="00E44922"/>
    <w:rsid w:val="00E4585D"/>
    <w:rsid w:val="00E45E2E"/>
    <w:rsid w:val="00E45F03"/>
    <w:rsid w:val="00E45FA5"/>
    <w:rsid w:val="00E46E3A"/>
    <w:rsid w:val="00E5126F"/>
    <w:rsid w:val="00E51F1C"/>
    <w:rsid w:val="00E52064"/>
    <w:rsid w:val="00E52DC1"/>
    <w:rsid w:val="00E534AB"/>
    <w:rsid w:val="00E551E0"/>
    <w:rsid w:val="00E55FE6"/>
    <w:rsid w:val="00E5678A"/>
    <w:rsid w:val="00E60EE9"/>
    <w:rsid w:val="00E61FB6"/>
    <w:rsid w:val="00E6219A"/>
    <w:rsid w:val="00E6393E"/>
    <w:rsid w:val="00E6482E"/>
    <w:rsid w:val="00E6574B"/>
    <w:rsid w:val="00E65AF8"/>
    <w:rsid w:val="00E66E78"/>
    <w:rsid w:val="00E67F7D"/>
    <w:rsid w:val="00E70239"/>
    <w:rsid w:val="00E71544"/>
    <w:rsid w:val="00E716FB"/>
    <w:rsid w:val="00E7223B"/>
    <w:rsid w:val="00E74C3D"/>
    <w:rsid w:val="00E75E3F"/>
    <w:rsid w:val="00E76179"/>
    <w:rsid w:val="00E771A8"/>
    <w:rsid w:val="00E77B4E"/>
    <w:rsid w:val="00E814AE"/>
    <w:rsid w:val="00E81590"/>
    <w:rsid w:val="00E818F5"/>
    <w:rsid w:val="00E82126"/>
    <w:rsid w:val="00E84D1F"/>
    <w:rsid w:val="00E84EA5"/>
    <w:rsid w:val="00E853DD"/>
    <w:rsid w:val="00E85F9D"/>
    <w:rsid w:val="00E9133B"/>
    <w:rsid w:val="00E93A88"/>
    <w:rsid w:val="00E9441A"/>
    <w:rsid w:val="00E94931"/>
    <w:rsid w:val="00E94BAA"/>
    <w:rsid w:val="00E94D4A"/>
    <w:rsid w:val="00E961E4"/>
    <w:rsid w:val="00E977AB"/>
    <w:rsid w:val="00E97971"/>
    <w:rsid w:val="00EA0B4C"/>
    <w:rsid w:val="00EA1403"/>
    <w:rsid w:val="00EA32CE"/>
    <w:rsid w:val="00EA3CFC"/>
    <w:rsid w:val="00EA43E9"/>
    <w:rsid w:val="00EA48EB"/>
    <w:rsid w:val="00EA7038"/>
    <w:rsid w:val="00EB17A3"/>
    <w:rsid w:val="00EB2350"/>
    <w:rsid w:val="00EB2747"/>
    <w:rsid w:val="00EB2A50"/>
    <w:rsid w:val="00EB3145"/>
    <w:rsid w:val="00EB36BF"/>
    <w:rsid w:val="00EB384B"/>
    <w:rsid w:val="00EB4813"/>
    <w:rsid w:val="00EB4879"/>
    <w:rsid w:val="00EB516B"/>
    <w:rsid w:val="00EB716C"/>
    <w:rsid w:val="00EB72E4"/>
    <w:rsid w:val="00EC0880"/>
    <w:rsid w:val="00EC27C1"/>
    <w:rsid w:val="00EC2963"/>
    <w:rsid w:val="00EC3BA1"/>
    <w:rsid w:val="00EC4D9C"/>
    <w:rsid w:val="00EC4E41"/>
    <w:rsid w:val="00EC5D7C"/>
    <w:rsid w:val="00EC6405"/>
    <w:rsid w:val="00EC7806"/>
    <w:rsid w:val="00ED14DB"/>
    <w:rsid w:val="00ED257C"/>
    <w:rsid w:val="00ED39A7"/>
    <w:rsid w:val="00ED64C6"/>
    <w:rsid w:val="00ED6B9A"/>
    <w:rsid w:val="00ED7390"/>
    <w:rsid w:val="00ED7A9F"/>
    <w:rsid w:val="00EE1880"/>
    <w:rsid w:val="00EE1C34"/>
    <w:rsid w:val="00EE202B"/>
    <w:rsid w:val="00EE371F"/>
    <w:rsid w:val="00EE3E44"/>
    <w:rsid w:val="00EE52BE"/>
    <w:rsid w:val="00EE5A1F"/>
    <w:rsid w:val="00EE6398"/>
    <w:rsid w:val="00EE6435"/>
    <w:rsid w:val="00EE7096"/>
    <w:rsid w:val="00EE7BB9"/>
    <w:rsid w:val="00EF0B6C"/>
    <w:rsid w:val="00EF1D7D"/>
    <w:rsid w:val="00EF2A40"/>
    <w:rsid w:val="00EF3BEA"/>
    <w:rsid w:val="00EF4AB7"/>
    <w:rsid w:val="00EF6DBF"/>
    <w:rsid w:val="00EF7030"/>
    <w:rsid w:val="00EF7464"/>
    <w:rsid w:val="00F00C6D"/>
    <w:rsid w:val="00F03BD5"/>
    <w:rsid w:val="00F04CF4"/>
    <w:rsid w:val="00F0512F"/>
    <w:rsid w:val="00F05587"/>
    <w:rsid w:val="00F05E47"/>
    <w:rsid w:val="00F0602E"/>
    <w:rsid w:val="00F06A79"/>
    <w:rsid w:val="00F06DB9"/>
    <w:rsid w:val="00F10511"/>
    <w:rsid w:val="00F11B6A"/>
    <w:rsid w:val="00F122A9"/>
    <w:rsid w:val="00F12AED"/>
    <w:rsid w:val="00F13350"/>
    <w:rsid w:val="00F13821"/>
    <w:rsid w:val="00F13BF3"/>
    <w:rsid w:val="00F141F0"/>
    <w:rsid w:val="00F2022F"/>
    <w:rsid w:val="00F2131A"/>
    <w:rsid w:val="00F22361"/>
    <w:rsid w:val="00F22913"/>
    <w:rsid w:val="00F24A93"/>
    <w:rsid w:val="00F26957"/>
    <w:rsid w:val="00F3019D"/>
    <w:rsid w:val="00F31297"/>
    <w:rsid w:val="00F35F4C"/>
    <w:rsid w:val="00F36069"/>
    <w:rsid w:val="00F3675E"/>
    <w:rsid w:val="00F37364"/>
    <w:rsid w:val="00F37DA7"/>
    <w:rsid w:val="00F4039F"/>
    <w:rsid w:val="00F41A75"/>
    <w:rsid w:val="00F424C1"/>
    <w:rsid w:val="00F5183F"/>
    <w:rsid w:val="00F51EB7"/>
    <w:rsid w:val="00F52903"/>
    <w:rsid w:val="00F5381A"/>
    <w:rsid w:val="00F53D18"/>
    <w:rsid w:val="00F54072"/>
    <w:rsid w:val="00F55481"/>
    <w:rsid w:val="00F5671C"/>
    <w:rsid w:val="00F56A08"/>
    <w:rsid w:val="00F57245"/>
    <w:rsid w:val="00F5753E"/>
    <w:rsid w:val="00F61BD7"/>
    <w:rsid w:val="00F62DEE"/>
    <w:rsid w:val="00F64244"/>
    <w:rsid w:val="00F648DE"/>
    <w:rsid w:val="00F65526"/>
    <w:rsid w:val="00F65D9F"/>
    <w:rsid w:val="00F66DAF"/>
    <w:rsid w:val="00F671F0"/>
    <w:rsid w:val="00F6750F"/>
    <w:rsid w:val="00F67F1B"/>
    <w:rsid w:val="00F703BF"/>
    <w:rsid w:val="00F70956"/>
    <w:rsid w:val="00F70B74"/>
    <w:rsid w:val="00F74E36"/>
    <w:rsid w:val="00F76C23"/>
    <w:rsid w:val="00F816B8"/>
    <w:rsid w:val="00F8234B"/>
    <w:rsid w:val="00F840C1"/>
    <w:rsid w:val="00F849C9"/>
    <w:rsid w:val="00F857B1"/>
    <w:rsid w:val="00F85D29"/>
    <w:rsid w:val="00F875A7"/>
    <w:rsid w:val="00F87A5F"/>
    <w:rsid w:val="00F90D09"/>
    <w:rsid w:val="00F911AA"/>
    <w:rsid w:val="00F91306"/>
    <w:rsid w:val="00F93D1A"/>
    <w:rsid w:val="00F93E95"/>
    <w:rsid w:val="00F95FE6"/>
    <w:rsid w:val="00F966D6"/>
    <w:rsid w:val="00F96FCF"/>
    <w:rsid w:val="00F97405"/>
    <w:rsid w:val="00FA10D2"/>
    <w:rsid w:val="00FA2C7D"/>
    <w:rsid w:val="00FA4C86"/>
    <w:rsid w:val="00FA5C18"/>
    <w:rsid w:val="00FA7292"/>
    <w:rsid w:val="00FB401E"/>
    <w:rsid w:val="00FB4562"/>
    <w:rsid w:val="00FB4DAF"/>
    <w:rsid w:val="00FB6E3F"/>
    <w:rsid w:val="00FC0AB4"/>
    <w:rsid w:val="00FC172D"/>
    <w:rsid w:val="00FC3578"/>
    <w:rsid w:val="00FC3940"/>
    <w:rsid w:val="00FC407A"/>
    <w:rsid w:val="00FC43CA"/>
    <w:rsid w:val="00FC4605"/>
    <w:rsid w:val="00FC684C"/>
    <w:rsid w:val="00FC7CE6"/>
    <w:rsid w:val="00FD0FFB"/>
    <w:rsid w:val="00FD1C54"/>
    <w:rsid w:val="00FD51A9"/>
    <w:rsid w:val="00FD7AE0"/>
    <w:rsid w:val="00FD7BEE"/>
    <w:rsid w:val="00FE5007"/>
    <w:rsid w:val="00FE525F"/>
    <w:rsid w:val="00FE5716"/>
    <w:rsid w:val="00FE5F3E"/>
    <w:rsid w:val="00FE7FAB"/>
    <w:rsid w:val="00FF0856"/>
    <w:rsid w:val="00FF1B7D"/>
    <w:rsid w:val="00FF22ED"/>
    <w:rsid w:val="00FF2C90"/>
    <w:rsid w:val="00FF3665"/>
    <w:rsid w:val="00FF3B38"/>
    <w:rsid w:val="00FF560E"/>
    <w:rsid w:val="00FF6D23"/>
    <w:rsid w:val="00FF724B"/>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A9E1"/>
  <w15:docId w15:val="{D97B41FF-C424-D945-8E17-F1DED6D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088"/>
    <w:rPr>
      <w:sz w:val="22"/>
    </w:rPr>
  </w:style>
  <w:style w:type="paragraph" w:styleId="Heading1">
    <w:name w:val="heading 1"/>
    <w:basedOn w:val="Normal"/>
    <w:next w:val="Normal"/>
    <w:link w:val="Heading1Char"/>
    <w:qFormat/>
    <w:rsid w:val="00F70B74"/>
    <w:pPr>
      <w:keepNext/>
      <w:numPr>
        <w:numId w:val="4"/>
      </w:numPr>
      <w:spacing w:after="240"/>
      <w:jc w:val="center"/>
      <w:outlineLvl w:val="0"/>
    </w:pPr>
    <w:rPr>
      <w:smallCaps/>
      <w:kern w:val="28"/>
      <w:sz w:val="24"/>
      <w:szCs w:val="24"/>
    </w:rPr>
  </w:style>
  <w:style w:type="paragraph" w:styleId="Heading2">
    <w:name w:val="heading 2"/>
    <w:next w:val="Normal"/>
    <w:link w:val="Heading2Char"/>
    <w:uiPriority w:val="9"/>
    <w:unhideWhenUsed/>
    <w:qFormat/>
    <w:rsid w:val="00F70B74"/>
    <w:pPr>
      <w:keepNext/>
      <w:pBdr>
        <w:top w:val="nil"/>
        <w:left w:val="nil"/>
        <w:bottom w:val="nil"/>
        <w:right w:val="nil"/>
        <w:between w:val="nil"/>
        <w:bar w:val="nil"/>
      </w:pBdr>
      <w:spacing w:after="240"/>
      <w:ind w:left="240" w:hanging="240"/>
      <w:jc w:val="center"/>
      <w:outlineLvl w:val="1"/>
    </w:pPr>
    <w:rPr>
      <w:rFonts w:eastAsia="Arial Unicode MS" w:cs="Arial Unicode MS"/>
      <w:i/>
      <w:iCs/>
      <w:color w:val="000000"/>
      <w:sz w:val="24"/>
      <w:szCs w:val="24"/>
      <w:u w:color="000000"/>
      <w:bdr w:val="nil"/>
    </w:rPr>
  </w:style>
  <w:style w:type="paragraph" w:styleId="Heading3">
    <w:name w:val="heading 3"/>
    <w:next w:val="Normal"/>
    <w:link w:val="Heading3Char"/>
    <w:uiPriority w:val="9"/>
    <w:unhideWhenUsed/>
    <w:qFormat/>
    <w:rsid w:val="00F70B74"/>
    <w:pPr>
      <w:keepNext/>
      <w:pBdr>
        <w:top w:val="nil"/>
        <w:left w:val="nil"/>
        <w:bottom w:val="nil"/>
        <w:right w:val="nil"/>
        <w:between w:val="nil"/>
        <w:bar w:val="nil"/>
      </w:pBdr>
      <w:tabs>
        <w:tab w:val="left" w:pos="360"/>
      </w:tabs>
      <w:spacing w:after="240"/>
      <w:outlineLvl w:val="2"/>
    </w:pPr>
    <w:rPr>
      <w:rFonts w:eastAsia="Arial Unicode MS" w:cs="Arial Unicode MS"/>
      <w:color w:val="000000"/>
      <w:sz w:val="24"/>
      <w:szCs w:val="24"/>
      <w:u w:color="000000"/>
      <w:bdr w:val="nil"/>
    </w:rPr>
  </w:style>
  <w:style w:type="paragraph" w:styleId="Heading4">
    <w:name w:val="heading 4"/>
    <w:basedOn w:val="Normal"/>
    <w:next w:val="Normal"/>
    <w:link w:val="Heading4Char"/>
    <w:qFormat/>
    <w:rsid w:val="00F70B74"/>
    <w:pPr>
      <w:keepNext/>
      <w:numPr>
        <w:ilvl w:val="3"/>
        <w:numId w:val="4"/>
      </w:numPr>
      <w:spacing w:after="240"/>
      <w:outlineLvl w:val="3"/>
    </w:pPr>
    <w:rPr>
      <w:sz w:val="24"/>
      <w:szCs w:val="24"/>
    </w:rPr>
  </w:style>
  <w:style w:type="paragraph" w:styleId="Heading5">
    <w:name w:val="heading 5"/>
    <w:next w:val="Normal"/>
    <w:link w:val="Heading5Char"/>
    <w:qFormat/>
    <w:rsid w:val="00F70B74"/>
    <w:pPr>
      <w:keepNext/>
      <w:numPr>
        <w:ilvl w:val="4"/>
        <w:numId w:val="4"/>
      </w:numPr>
      <w:spacing w:after="240"/>
      <w:outlineLvl w:val="4"/>
    </w:pPr>
    <w:rPr>
      <w:rFonts w:ascii="CG Times" w:hAnsi="CG Times"/>
      <w:sz w:val="22"/>
    </w:rPr>
  </w:style>
  <w:style w:type="paragraph" w:styleId="Heading6">
    <w:name w:val="heading 6"/>
    <w:basedOn w:val="Normal"/>
    <w:next w:val="Normal"/>
    <w:link w:val="Heading6Char"/>
    <w:qFormat/>
    <w:rsid w:val="00F70B74"/>
    <w:pPr>
      <w:numPr>
        <w:ilvl w:val="5"/>
        <w:numId w:val="4"/>
      </w:numPr>
      <w:spacing w:before="240" w:after="60"/>
      <w:outlineLvl w:val="5"/>
    </w:pPr>
    <w:rPr>
      <w:i/>
      <w:szCs w:val="24"/>
    </w:rPr>
  </w:style>
  <w:style w:type="paragraph" w:styleId="Heading7">
    <w:name w:val="heading 7"/>
    <w:basedOn w:val="Normal"/>
    <w:next w:val="Normal"/>
    <w:link w:val="Heading7Char"/>
    <w:qFormat/>
    <w:rsid w:val="00F70B74"/>
    <w:pPr>
      <w:numPr>
        <w:ilvl w:val="6"/>
        <w:numId w:val="4"/>
      </w:numPr>
      <w:spacing w:before="240" w:after="60"/>
      <w:outlineLvl w:val="6"/>
    </w:pPr>
    <w:rPr>
      <w:rFonts w:ascii="Arial" w:hAnsi="Arial"/>
      <w:sz w:val="20"/>
      <w:szCs w:val="24"/>
    </w:rPr>
  </w:style>
  <w:style w:type="paragraph" w:styleId="Heading8">
    <w:name w:val="heading 8"/>
    <w:basedOn w:val="Normal"/>
    <w:next w:val="Normal"/>
    <w:link w:val="Heading8Char"/>
    <w:qFormat/>
    <w:rsid w:val="00F70B74"/>
    <w:pPr>
      <w:numPr>
        <w:ilvl w:val="7"/>
        <w:numId w:val="4"/>
      </w:numPr>
      <w:spacing w:before="240" w:after="60"/>
      <w:outlineLvl w:val="7"/>
    </w:pPr>
    <w:rPr>
      <w:rFonts w:ascii="Arial" w:hAnsi="Arial"/>
      <w:i/>
      <w:sz w:val="20"/>
      <w:szCs w:val="24"/>
    </w:rPr>
  </w:style>
  <w:style w:type="paragraph" w:styleId="Heading9">
    <w:name w:val="heading 9"/>
    <w:basedOn w:val="Normal"/>
    <w:next w:val="Normal"/>
    <w:link w:val="Heading9Char"/>
    <w:qFormat/>
    <w:rsid w:val="00F70B74"/>
    <w:pPr>
      <w:numPr>
        <w:ilvl w:val="8"/>
        <w:numId w:val="4"/>
      </w:numPr>
      <w:spacing w:before="240" w:after="60"/>
      <w:outlineLvl w:val="8"/>
    </w:pPr>
    <w:rPr>
      <w:rFonts w:ascii="Arial"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link w:val="JournalfontChar"/>
    <w:qFormat/>
    <w:pPr>
      <w:widowControl w:val="0"/>
      <w:spacing w:line="260" w:lineRule="exact"/>
      <w:jc w:val="both"/>
    </w:pPr>
    <w:rPr>
      <w:sz w:val="22"/>
    </w:rPr>
  </w:style>
  <w:style w:type="paragraph" w:customStyle="1" w:styleId="Document">
    <w:name w:val="_Document"/>
    <w:basedOn w:val="Journalfont"/>
    <w:qFormat/>
    <w:rsid w:val="00745105"/>
    <w:pPr>
      <w:widowControl/>
      <w:suppressLineNumbers/>
      <w:tabs>
        <w:tab w:val="left" w:pos="0"/>
        <w:tab w:val="left" w:pos="400"/>
        <w:tab w:val="left" w:pos="620"/>
      </w:tabs>
      <w:spacing w:before="20"/>
      <w:ind w:firstLine="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otNote">
    <w:name w:val="_FootNote"/>
    <w:basedOn w:val="Document"/>
    <w:link w:val="FootNoteChar"/>
    <w:qFormat/>
    <w:pPr>
      <w:tabs>
        <w:tab w:val="clear" w:pos="0"/>
        <w:tab w:val="clear" w:pos="400"/>
        <w:tab w:val="clear" w:pos="620"/>
        <w:tab w:val="left" w:pos="240"/>
        <w:tab w:val="left" w:pos="480"/>
      </w:tabs>
      <w:spacing w:line="200" w:lineRule="exact"/>
      <w:ind w:firstLine="0"/>
    </w:pPr>
    <w:rPr>
      <w:sz w:val="17"/>
    </w:rPr>
  </w:style>
  <w:style w:type="paragraph" w:customStyle="1" w:styleId="FootNotePara">
    <w:name w:val="_FootNotePara"/>
    <w:basedOn w:val="FootNote"/>
    <w:qFormat/>
    <w:pPr>
      <w:ind w:firstLine="440"/>
    </w:pPr>
  </w:style>
  <w:style w:type="character" w:customStyle="1" w:styleId="NoterefInText">
    <w:name w:val="_NoterefInText"/>
    <w:basedOn w:val="DefaultParagraphFont"/>
    <w:qFormat/>
    <w:rsid w:val="00E51F1C"/>
    <w:rPr>
      <w:rFonts w:ascii="Times New Roman" w:hAnsi="Times New Roman"/>
      <w:sz w:val="22"/>
      <w:vertAlign w:val="superscript"/>
    </w:rPr>
  </w:style>
  <w:style w:type="character" w:customStyle="1" w:styleId="NoterefInNote">
    <w:name w:val="_NoterefInNote"/>
    <w:basedOn w:val="DefaultParagraphFont"/>
    <w:qFormat/>
    <w:rsid w:val="00E51F1C"/>
    <w:rPr>
      <w:rFonts w:ascii="Times New Roman" w:hAnsi="Times New Roman"/>
      <w:sz w:val="17"/>
      <w:vertAlign w:val="baseline"/>
    </w:rPr>
  </w:style>
  <w:style w:type="paragraph" w:customStyle="1" w:styleId="1StQuoteFN">
    <w:name w:val="_1StQuoteFN"/>
    <w:basedOn w:val="FootNote"/>
    <w:next w:val="FootNote"/>
    <w:qFormat/>
    <w:pPr>
      <w:spacing w:before="0"/>
      <w:ind w:left="440" w:right="440"/>
    </w:pPr>
  </w:style>
  <w:style w:type="paragraph" w:customStyle="1" w:styleId="2NdQuoteFN">
    <w:name w:val="_2NdQuoteFN"/>
    <w:basedOn w:val="FootNote"/>
    <w:next w:val="FootNote"/>
    <w:qFormat/>
    <w:pPr>
      <w:spacing w:before="0"/>
      <w:ind w:left="880" w:right="440"/>
    </w:pPr>
  </w:style>
  <w:style w:type="paragraph" w:customStyle="1" w:styleId="3RdQuoteFN">
    <w:name w:val="_3RdQuoteFN"/>
    <w:basedOn w:val="FootNote"/>
    <w:next w:val="FootNote"/>
    <w:qFormat/>
    <w:pPr>
      <w:spacing w:before="0"/>
      <w:ind w:left="1320" w:right="440"/>
    </w:pPr>
  </w:style>
  <w:style w:type="paragraph" w:customStyle="1" w:styleId="Documnet-NoPara">
    <w:name w:val="_Documnet-NoPara"/>
    <w:basedOn w:val="Document"/>
    <w:qFormat/>
    <w:rsid w:val="00341E8D"/>
    <w:pPr>
      <w:ind w:firstLine="0"/>
    </w:pPr>
    <w:rPr>
      <w:color w:val="000000"/>
      <w:spacing w:val="-3"/>
    </w:rPr>
  </w:style>
  <w:style w:type="paragraph" w:customStyle="1" w:styleId="1StQuoteTXT">
    <w:name w:val="_1StQuoteTXT"/>
    <w:basedOn w:val="Document"/>
    <w:next w:val="Document"/>
    <w:qFormat/>
    <w:pPr>
      <w:spacing w:before="60" w:after="40" w:line="250" w:lineRule="exact"/>
      <w:ind w:left="440" w:right="440" w:firstLine="0"/>
    </w:pPr>
    <w:rPr>
      <w:sz w:val="21"/>
    </w:rPr>
  </w:style>
  <w:style w:type="paragraph" w:customStyle="1" w:styleId="2NdQuoteTXT">
    <w:name w:val="_2NdQuoteTXT"/>
    <w:basedOn w:val="Document"/>
    <w:next w:val="Document"/>
    <w:pPr>
      <w:spacing w:before="40" w:after="40" w:line="250" w:lineRule="exact"/>
      <w:ind w:left="880" w:right="440" w:firstLine="0"/>
    </w:pPr>
    <w:rPr>
      <w:sz w:val="21"/>
    </w:rPr>
  </w:style>
  <w:style w:type="paragraph" w:customStyle="1" w:styleId="3RdQuoteTXT">
    <w:name w:val="_3RdQuoteTXT"/>
    <w:basedOn w:val="Document"/>
    <w:next w:val="Document"/>
    <w:qFormat/>
    <w:pPr>
      <w:spacing w:before="40" w:after="40" w:line="250" w:lineRule="exact"/>
      <w:ind w:left="1320" w:right="440" w:firstLine="0"/>
    </w:pPr>
    <w:rPr>
      <w:sz w:val="21"/>
    </w:rPr>
  </w:style>
  <w:style w:type="paragraph" w:customStyle="1" w:styleId="GraphicSpacing">
    <w:name w:val="_GraphicSpacing"/>
    <w:basedOn w:val="Documnet-NoPara"/>
    <w:qFormat/>
    <w:rsid w:val="00A82A31"/>
    <w:pPr>
      <w:spacing w:before="160" w:after="160" w:line="240" w:lineRule="auto"/>
      <w:jc w:val="center"/>
    </w:pPr>
  </w:style>
  <w:style w:type="paragraph" w:customStyle="1" w:styleId="BulletListTXT">
    <w:name w:val="_BulletListTXT"/>
    <w:basedOn w:val="1StQuoteTXT"/>
    <w:qFormat/>
    <w:rsid w:val="00A6794B"/>
    <w:pPr>
      <w:numPr>
        <w:numId w:val="2"/>
      </w:numPr>
      <w:tabs>
        <w:tab w:val="clear" w:pos="0"/>
        <w:tab w:val="clear" w:pos="400"/>
        <w:tab w:val="clear" w:pos="620"/>
        <w:tab w:val="left" w:pos="360"/>
      </w:tabs>
      <w:ind w:left="800"/>
    </w:pPr>
  </w:style>
  <w:style w:type="paragraph" w:customStyle="1" w:styleId="Toc1">
    <w:name w:val="_Toc1"/>
    <w:basedOn w:val="Document"/>
    <w:next w:val="Document"/>
    <w:qFormat/>
    <w:rsid w:val="00827414"/>
    <w:pPr>
      <w:tabs>
        <w:tab w:val="clear" w:pos="0"/>
        <w:tab w:val="clear" w:pos="620"/>
        <w:tab w:val="right" w:pos="400"/>
        <w:tab w:val="left" w:pos="600"/>
        <w:tab w:val="right" w:leader="dot" w:pos="6720"/>
      </w:tabs>
      <w:spacing w:before="0"/>
      <w:ind w:left="400" w:right="446" w:hanging="400"/>
      <w:jc w:val="left"/>
    </w:pPr>
    <w:rPr>
      <w:smallCaps/>
    </w:rPr>
  </w:style>
  <w:style w:type="paragraph" w:customStyle="1" w:styleId="Toc2">
    <w:name w:val="_Toc2"/>
    <w:basedOn w:val="Document"/>
    <w:next w:val="Document"/>
    <w:qFormat/>
    <w:rsid w:val="00CB2E4F"/>
    <w:pPr>
      <w:tabs>
        <w:tab w:val="clear" w:pos="0"/>
        <w:tab w:val="clear" w:pos="620"/>
        <w:tab w:val="right" w:pos="600"/>
        <w:tab w:val="right" w:leader="dot" w:pos="6720"/>
      </w:tabs>
      <w:spacing w:before="0"/>
      <w:ind w:left="1000" w:right="440" w:hanging="400"/>
      <w:jc w:val="left"/>
    </w:pPr>
  </w:style>
  <w:style w:type="paragraph" w:customStyle="1" w:styleId="Toc3">
    <w:name w:val="_Toc3"/>
    <w:basedOn w:val="Document"/>
    <w:next w:val="Document"/>
    <w:qFormat/>
    <w:rsid w:val="0019663F"/>
    <w:pPr>
      <w:tabs>
        <w:tab w:val="clear" w:pos="0"/>
        <w:tab w:val="clear" w:pos="400"/>
        <w:tab w:val="clear" w:pos="620"/>
        <w:tab w:val="left" w:pos="1000"/>
        <w:tab w:val="left" w:pos="1320"/>
        <w:tab w:val="right" w:leader="dot" w:pos="6720"/>
      </w:tabs>
      <w:spacing w:before="0"/>
      <w:ind w:left="1320" w:right="440" w:hanging="320"/>
      <w:jc w:val="left"/>
    </w:pPr>
  </w:style>
  <w:style w:type="paragraph" w:customStyle="1" w:styleId="TEXLogo">
    <w:name w:val="_TEXLogo"/>
    <w:basedOn w:val="Journalfont"/>
    <w:next w:val="Document"/>
    <w:qFormat/>
    <w:rsid w:val="00C4460E"/>
    <w:pPr>
      <w:keepNext/>
      <w:suppressLineNumbers/>
      <w:suppressAutoHyphens/>
      <w:spacing w:after="40" w:line="840" w:lineRule="exact"/>
      <w:jc w:val="left"/>
    </w:pPr>
    <w:rPr>
      <w:sz w:val="76"/>
    </w:rPr>
  </w:style>
  <w:style w:type="paragraph" w:customStyle="1" w:styleId="TEXVolumeIssue">
    <w:name w:val="_TEXVolume/Issue"/>
    <w:basedOn w:val="Journalfont"/>
    <w:next w:val="Document"/>
    <w:qFormat/>
    <w:pPr>
      <w:keepNext/>
      <w:suppressLineNumbers/>
      <w:suppressAutoHyphens/>
      <w:spacing w:after="440"/>
      <w:jc w:val="left"/>
    </w:pPr>
  </w:style>
  <w:style w:type="paragraph" w:customStyle="1" w:styleId="Head1-Articles">
    <w:name w:val="_Head1-Articles"/>
    <w:basedOn w:val="Journalfont"/>
    <w:next w:val="Document"/>
    <w:qFormat/>
    <w:rsid w:val="00F911AA"/>
    <w:pPr>
      <w:keepNext/>
      <w:suppressLineNumbers/>
      <w:suppressAutoHyphens/>
      <w:spacing w:after="280" w:line="400" w:lineRule="exact"/>
      <w:contextualSpacing/>
      <w:jc w:val="left"/>
    </w:pPr>
    <w:rPr>
      <w:sz w:val="36"/>
    </w:rPr>
  </w:style>
  <w:style w:type="paragraph" w:customStyle="1" w:styleId="Head2-Notes">
    <w:name w:val="_Head2-Notes"/>
    <w:aliases w:val="Comments"/>
    <w:basedOn w:val="Journalfont"/>
    <w:next w:val="Document"/>
    <w:qFormat/>
    <w:rsid w:val="00CB59E5"/>
    <w:pPr>
      <w:keepNext/>
      <w:suppressLineNumbers/>
      <w:suppressAutoHyphens/>
      <w:spacing w:after="280" w:line="440" w:lineRule="exact"/>
      <w:jc w:val="left"/>
    </w:pPr>
    <w:rPr>
      <w:sz w:val="36"/>
    </w:rPr>
  </w:style>
  <w:style w:type="paragraph" w:customStyle="1" w:styleId="Head3-BookReviews">
    <w:name w:val="_Head3-BookReviews"/>
    <w:basedOn w:val="Journalfont"/>
    <w:next w:val="Document"/>
    <w:qFormat/>
    <w:pPr>
      <w:keepNext/>
      <w:suppressLineNumbers/>
      <w:suppressAutoHyphens/>
      <w:spacing w:after="400"/>
      <w:ind w:left="400" w:hanging="400"/>
      <w:jc w:val="left"/>
    </w:pPr>
  </w:style>
  <w:style w:type="paragraph" w:customStyle="1" w:styleId="AuthorName1-Articles">
    <w:name w:val="_AuthorName1-Articles"/>
    <w:basedOn w:val="Journalfont"/>
    <w:next w:val="Document"/>
    <w:qFormat/>
    <w:pPr>
      <w:keepNext/>
      <w:suppressLineNumbers/>
      <w:tabs>
        <w:tab w:val="left" w:pos="400"/>
      </w:tabs>
      <w:suppressAutoHyphens/>
      <w:spacing w:after="200" w:line="320" w:lineRule="exact"/>
      <w:jc w:val="left"/>
    </w:pPr>
    <w:rPr>
      <w:sz w:val="28"/>
    </w:rPr>
  </w:style>
  <w:style w:type="paragraph" w:customStyle="1" w:styleId="AuthorName2-Students">
    <w:name w:val="_AuthorName2-Students"/>
    <w:basedOn w:val="Journalfont"/>
    <w:next w:val="Document"/>
    <w:qFormat/>
    <w:pPr>
      <w:keepNext/>
      <w:suppressLineNumbers/>
      <w:tabs>
        <w:tab w:val="left" w:pos="400"/>
      </w:tabs>
      <w:suppressAutoHyphens/>
      <w:spacing w:after="200"/>
      <w:jc w:val="right"/>
    </w:pPr>
    <w:rPr>
      <w:i/>
    </w:rPr>
  </w:style>
  <w:style w:type="paragraph" w:customStyle="1" w:styleId="SubHead1">
    <w:name w:val="_SubHead1"/>
    <w:basedOn w:val="Journalfont"/>
    <w:next w:val="Document"/>
    <w:qFormat/>
    <w:rsid w:val="00375350"/>
    <w:pPr>
      <w:keepNext/>
      <w:suppressLineNumbers/>
      <w:tabs>
        <w:tab w:val="left" w:pos="440"/>
      </w:tabs>
      <w:suppressAutoHyphens/>
      <w:spacing w:before="240" w:after="80"/>
      <w:ind w:left="446" w:hanging="446"/>
      <w:jc w:val="left"/>
    </w:pPr>
  </w:style>
  <w:style w:type="paragraph" w:customStyle="1" w:styleId="SubHead2">
    <w:name w:val="_SubHead2"/>
    <w:basedOn w:val="Journalfont"/>
    <w:next w:val="Document"/>
    <w:qFormat/>
    <w:rsid w:val="00375350"/>
    <w:pPr>
      <w:keepNext/>
      <w:suppressLineNumbers/>
      <w:tabs>
        <w:tab w:val="left" w:pos="440"/>
      </w:tabs>
      <w:suppressAutoHyphens/>
      <w:spacing w:before="240" w:after="80"/>
      <w:ind w:left="446" w:hanging="446"/>
      <w:jc w:val="left"/>
    </w:pPr>
    <w:rPr>
      <w:i/>
    </w:rPr>
  </w:style>
  <w:style w:type="character" w:customStyle="1" w:styleId="SubHead3-Italic">
    <w:name w:val="_SubHead3-Italic"/>
    <w:uiPriority w:val="1"/>
    <w:qFormat/>
    <w:rsid w:val="00CB5008"/>
    <w:rPr>
      <w:rFonts w:ascii="Times New Roman" w:hAnsi="Times New Roman"/>
      <w:b w:val="0"/>
      <w:i/>
      <w:spacing w:val="-3"/>
      <w:sz w:val="22"/>
    </w:rPr>
  </w:style>
  <w:style w:type="paragraph" w:customStyle="1" w:styleId="END">
    <w:name w:val="_END"/>
    <w:basedOn w:val="Journalfont"/>
    <w:next w:val="Document"/>
    <w:pPr>
      <w:keepNext/>
      <w:suppressLineNumbers/>
      <w:suppressAutoHyphens/>
      <w:spacing w:line="0" w:lineRule="atLeast"/>
      <w:jc w:val="left"/>
    </w:pPr>
  </w:style>
  <w:style w:type="character" w:styleId="FootnoteReference">
    <w:name w:val="footnote reference"/>
    <w:basedOn w:val="DefaultParagraphFont"/>
    <w:semiHidden/>
    <w:rPr>
      <w:vertAlign w:val="superscript"/>
    </w:rPr>
  </w:style>
  <w:style w:type="paragraph" w:customStyle="1" w:styleId="1StLineQuoteFN">
    <w:name w:val="_1StLineQuoteFN"/>
    <w:basedOn w:val="1StQuoteFN"/>
    <w:qFormat/>
    <w:pPr>
      <w:tabs>
        <w:tab w:val="clear" w:pos="240"/>
        <w:tab w:val="clear" w:pos="480"/>
      </w:tabs>
      <w:spacing w:before="20"/>
      <w:ind w:hanging="440"/>
    </w:pPr>
  </w:style>
  <w:style w:type="paragraph" w:customStyle="1" w:styleId="Abstract">
    <w:name w:val="_Abstract"/>
    <w:basedOn w:val="1StQuoteTXT"/>
    <w:qFormat/>
    <w:pPr>
      <w:spacing w:after="200"/>
      <w:ind w:left="0" w:right="0" w:firstLine="440"/>
    </w:pPr>
    <w:rPr>
      <w:i/>
    </w:rPr>
  </w:style>
  <w:style w:type="paragraph" w:customStyle="1" w:styleId="AuthorName3-BookReviews">
    <w:name w:val="_AuthorName3-BookReviews"/>
    <w:basedOn w:val="AuthorName1-Articles"/>
    <w:qFormat/>
  </w:style>
  <w:style w:type="paragraph" w:styleId="TOC10">
    <w:name w:val="toc 1"/>
    <w:basedOn w:val="Toc1"/>
    <w:next w:val="Journalfont"/>
    <w:autoRedefine/>
    <w:uiPriority w:val="39"/>
    <w:rsid w:val="004A188B"/>
    <w:pPr>
      <w:tabs>
        <w:tab w:val="left" w:pos="400"/>
      </w:tabs>
    </w:pPr>
  </w:style>
  <w:style w:type="paragraph" w:styleId="TOC20">
    <w:name w:val="toc 2"/>
    <w:basedOn w:val="Toc2"/>
    <w:next w:val="Journalfont"/>
    <w:autoRedefine/>
    <w:uiPriority w:val="39"/>
    <w:rsid w:val="004A188B"/>
    <w:rPr>
      <w:noProof/>
    </w:rPr>
  </w:style>
  <w:style w:type="paragraph" w:styleId="TOC30">
    <w:name w:val="toc 3"/>
    <w:basedOn w:val="Toc3"/>
    <w:next w:val="Journalfont"/>
    <w:autoRedefine/>
    <w:uiPriority w:val="39"/>
    <w:rsid w:val="00E171E1"/>
    <w:pPr>
      <w:tabs>
        <w:tab w:val="left" w:pos="1540"/>
      </w:tabs>
    </w:pPr>
  </w:style>
  <w:style w:type="paragraph" w:styleId="TOC4">
    <w:name w:val="toc 4"/>
    <w:basedOn w:val="Normal"/>
    <w:next w:val="Journalfont"/>
    <w:autoRedefine/>
    <w:semiHidden/>
    <w:rsid w:val="00AE7E2E"/>
    <w:pPr>
      <w:suppressLineNumbers/>
      <w:tabs>
        <w:tab w:val="left" w:pos="360"/>
        <w:tab w:val="right" w:leader="dot" w:pos="6720"/>
      </w:tabs>
      <w:spacing w:line="260" w:lineRule="exact"/>
      <w:ind w:left="600" w:right="440" w:hanging="360"/>
    </w:pPr>
  </w:style>
  <w:style w:type="paragraph" w:styleId="TOC5">
    <w:name w:val="toc 5"/>
    <w:basedOn w:val="Normal"/>
    <w:next w:val="Journalfont"/>
    <w:autoRedefine/>
    <w:semiHidden/>
    <w:rsid w:val="00AE7E2E"/>
    <w:pPr>
      <w:suppressLineNumbers/>
      <w:tabs>
        <w:tab w:val="left" w:pos="360"/>
        <w:tab w:val="right" w:leader="dot" w:pos="6720"/>
      </w:tabs>
      <w:spacing w:line="260" w:lineRule="exact"/>
      <w:ind w:left="800" w:right="440" w:hanging="360"/>
      <w:jc w:val="both"/>
    </w:pPr>
  </w:style>
  <w:style w:type="paragraph" w:styleId="TOC6">
    <w:name w:val="toc 6"/>
    <w:basedOn w:val="Journalfont"/>
    <w:next w:val="Journalfont"/>
    <w:autoRedefine/>
    <w:semiHidden/>
    <w:pPr>
      <w:ind w:left="1000"/>
    </w:pPr>
  </w:style>
  <w:style w:type="paragraph" w:styleId="TOC7">
    <w:name w:val="toc 7"/>
    <w:basedOn w:val="Journalfont"/>
    <w:next w:val="Journalfont"/>
    <w:autoRedefine/>
    <w:semiHidden/>
    <w:pPr>
      <w:ind w:left="1200"/>
    </w:pPr>
  </w:style>
  <w:style w:type="paragraph" w:customStyle="1" w:styleId="header0">
    <w:name w:val="_header"/>
    <w:basedOn w:val="Header"/>
    <w:qFormat/>
    <w:rsid w:val="000B4C6E"/>
    <w:pPr>
      <w:pBdr>
        <w:top w:val="single" w:sz="6" w:space="1" w:color="auto"/>
        <w:bottom w:val="single" w:sz="6" w:space="1" w:color="auto"/>
      </w:pBdr>
      <w:tabs>
        <w:tab w:val="clear" w:pos="4320"/>
        <w:tab w:val="clear" w:pos="8640"/>
        <w:tab w:val="right" w:pos="6720"/>
      </w:tabs>
    </w:pPr>
    <w:rPr>
      <w:smallCaps/>
      <w:sz w:val="14"/>
    </w:rPr>
  </w:style>
  <w:style w:type="character" w:customStyle="1" w:styleId="Asterisk">
    <w:name w:val="_Asterisk"/>
    <w:basedOn w:val="NoterefInText"/>
    <w:uiPriority w:val="1"/>
    <w:qFormat/>
    <w:rsid w:val="00193BD9"/>
    <w:rPr>
      <w:rFonts w:ascii="Times New Roman" w:hAnsi="Times New Roman"/>
      <w:sz w:val="22"/>
      <w:vertAlign w:val="superscript"/>
    </w:rPr>
  </w:style>
  <w:style w:type="character" w:customStyle="1" w:styleId="JournalfontChar">
    <w:name w:val="_Journal font Char"/>
    <w:basedOn w:val="DefaultParagraphFont"/>
    <w:link w:val="Journalfont"/>
    <w:rsid w:val="0061495A"/>
    <w:rPr>
      <w:sz w:val="22"/>
    </w:rPr>
  </w:style>
  <w:style w:type="paragraph" w:styleId="BalloonText">
    <w:name w:val="Balloon Text"/>
    <w:basedOn w:val="Normal"/>
    <w:link w:val="BalloonTextChar"/>
    <w:uiPriority w:val="99"/>
    <w:semiHidden/>
    <w:unhideWhenUsed/>
    <w:rsid w:val="00BE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A6"/>
    <w:rPr>
      <w:rFonts w:ascii="Segoe UI" w:hAnsi="Segoe UI" w:cs="Segoe UI"/>
      <w:sz w:val="18"/>
      <w:szCs w:val="18"/>
    </w:rPr>
  </w:style>
  <w:style w:type="paragraph" w:customStyle="1" w:styleId="BulletListFN">
    <w:name w:val="_BulletListFN"/>
    <w:basedOn w:val="1StQuoteFN"/>
    <w:qFormat/>
    <w:rsid w:val="00083531"/>
    <w:pPr>
      <w:numPr>
        <w:numId w:val="3"/>
      </w:numPr>
      <w:ind w:left="800"/>
    </w:pPr>
  </w:style>
  <w:style w:type="paragraph" w:customStyle="1" w:styleId="SubHead3-Paragraph">
    <w:name w:val="_SubHead3-Paragraph"/>
    <w:basedOn w:val="Document"/>
    <w:qFormat/>
    <w:rsid w:val="006A6687"/>
    <w:pPr>
      <w:tabs>
        <w:tab w:val="clear" w:pos="0"/>
        <w:tab w:val="clear" w:pos="620"/>
        <w:tab w:val="left" w:pos="800"/>
      </w:tabs>
      <w:spacing w:before="240"/>
    </w:pPr>
  </w:style>
  <w:style w:type="character" w:customStyle="1" w:styleId="Heading1Char">
    <w:name w:val="Heading 1 Char"/>
    <w:basedOn w:val="DefaultParagraphFont"/>
    <w:link w:val="Heading1"/>
    <w:rsid w:val="00F70B74"/>
    <w:rPr>
      <w:smallCaps/>
      <w:kern w:val="28"/>
      <w:sz w:val="24"/>
      <w:szCs w:val="24"/>
    </w:rPr>
  </w:style>
  <w:style w:type="character" w:customStyle="1" w:styleId="Heading2Char">
    <w:name w:val="Heading 2 Char"/>
    <w:basedOn w:val="DefaultParagraphFont"/>
    <w:link w:val="Heading2"/>
    <w:uiPriority w:val="9"/>
    <w:rsid w:val="00F70B74"/>
    <w:rPr>
      <w:rFonts w:eastAsia="Arial Unicode MS" w:cs="Arial Unicode MS"/>
      <w:i/>
      <w:iCs/>
      <w:color w:val="000000"/>
      <w:sz w:val="24"/>
      <w:szCs w:val="24"/>
      <w:u w:color="000000"/>
      <w:bdr w:val="nil"/>
    </w:rPr>
  </w:style>
  <w:style w:type="character" w:customStyle="1" w:styleId="Heading3Char">
    <w:name w:val="Heading 3 Char"/>
    <w:basedOn w:val="DefaultParagraphFont"/>
    <w:link w:val="Heading3"/>
    <w:uiPriority w:val="9"/>
    <w:rsid w:val="00F70B74"/>
    <w:rPr>
      <w:rFonts w:eastAsia="Arial Unicode MS" w:cs="Arial Unicode MS"/>
      <w:color w:val="000000"/>
      <w:sz w:val="24"/>
      <w:szCs w:val="24"/>
      <w:u w:color="000000"/>
      <w:bdr w:val="nil"/>
    </w:rPr>
  </w:style>
  <w:style w:type="character" w:customStyle="1" w:styleId="Heading4Char">
    <w:name w:val="Heading 4 Char"/>
    <w:basedOn w:val="DefaultParagraphFont"/>
    <w:link w:val="Heading4"/>
    <w:rsid w:val="00F70B74"/>
    <w:rPr>
      <w:sz w:val="24"/>
      <w:szCs w:val="24"/>
    </w:rPr>
  </w:style>
  <w:style w:type="character" w:customStyle="1" w:styleId="Heading5Char">
    <w:name w:val="Heading 5 Char"/>
    <w:basedOn w:val="DefaultParagraphFont"/>
    <w:link w:val="Heading5"/>
    <w:rsid w:val="00F70B74"/>
    <w:rPr>
      <w:rFonts w:ascii="CG Times" w:hAnsi="CG Times"/>
      <w:sz w:val="22"/>
    </w:rPr>
  </w:style>
  <w:style w:type="character" w:customStyle="1" w:styleId="Heading6Char">
    <w:name w:val="Heading 6 Char"/>
    <w:basedOn w:val="DefaultParagraphFont"/>
    <w:link w:val="Heading6"/>
    <w:rsid w:val="00F70B74"/>
    <w:rPr>
      <w:i/>
      <w:sz w:val="22"/>
      <w:szCs w:val="24"/>
    </w:rPr>
  </w:style>
  <w:style w:type="character" w:customStyle="1" w:styleId="Heading7Char">
    <w:name w:val="Heading 7 Char"/>
    <w:basedOn w:val="DefaultParagraphFont"/>
    <w:link w:val="Heading7"/>
    <w:rsid w:val="00F70B74"/>
    <w:rPr>
      <w:rFonts w:ascii="Arial" w:hAnsi="Arial"/>
      <w:szCs w:val="24"/>
    </w:rPr>
  </w:style>
  <w:style w:type="character" w:customStyle="1" w:styleId="Heading8Char">
    <w:name w:val="Heading 8 Char"/>
    <w:basedOn w:val="DefaultParagraphFont"/>
    <w:link w:val="Heading8"/>
    <w:rsid w:val="00F70B74"/>
    <w:rPr>
      <w:rFonts w:ascii="Arial" w:hAnsi="Arial"/>
      <w:i/>
      <w:szCs w:val="24"/>
    </w:rPr>
  </w:style>
  <w:style w:type="character" w:customStyle="1" w:styleId="Heading9Char">
    <w:name w:val="Heading 9 Char"/>
    <w:basedOn w:val="DefaultParagraphFont"/>
    <w:link w:val="Heading9"/>
    <w:rsid w:val="00F70B74"/>
    <w:rPr>
      <w:rFonts w:ascii="Arial" w:hAnsi="Arial"/>
      <w:b/>
      <w:i/>
      <w:sz w:val="18"/>
      <w:szCs w:val="24"/>
    </w:rPr>
  </w:style>
  <w:style w:type="character" w:styleId="Hyperlink">
    <w:name w:val="Hyperlink"/>
    <w:basedOn w:val="DefaultParagraphFont"/>
    <w:uiPriority w:val="99"/>
    <w:unhideWhenUsed/>
    <w:rsid w:val="00E61FB6"/>
    <w:rPr>
      <w:color w:val="0000FF" w:themeColor="hyperlink"/>
      <w:u w:val="single"/>
    </w:rPr>
  </w:style>
  <w:style w:type="character" w:customStyle="1" w:styleId="UnresolvedMention1">
    <w:name w:val="Unresolved Mention1"/>
    <w:basedOn w:val="DefaultParagraphFont"/>
    <w:uiPriority w:val="99"/>
    <w:semiHidden/>
    <w:unhideWhenUsed/>
    <w:rsid w:val="00E61FB6"/>
    <w:rPr>
      <w:color w:val="605E5C"/>
      <w:shd w:val="clear" w:color="auto" w:fill="E1DFDD"/>
    </w:rPr>
  </w:style>
  <w:style w:type="paragraph" w:styleId="FootnoteText">
    <w:name w:val="footnote text"/>
    <w:basedOn w:val="Normal"/>
    <w:link w:val="FootnoteTextChar"/>
    <w:uiPriority w:val="99"/>
    <w:semiHidden/>
    <w:unhideWhenUsed/>
    <w:rsid w:val="007C3BD1"/>
    <w:rPr>
      <w:sz w:val="20"/>
    </w:rPr>
  </w:style>
  <w:style w:type="character" w:customStyle="1" w:styleId="FootnoteTextChar">
    <w:name w:val="Footnote Text Char"/>
    <w:basedOn w:val="DefaultParagraphFont"/>
    <w:link w:val="FootnoteText"/>
    <w:uiPriority w:val="99"/>
    <w:semiHidden/>
    <w:rsid w:val="007C3BD1"/>
  </w:style>
  <w:style w:type="paragraph" w:styleId="EndnoteText">
    <w:name w:val="endnote text"/>
    <w:basedOn w:val="Normal"/>
    <w:link w:val="EndnoteTextChar"/>
    <w:uiPriority w:val="99"/>
    <w:semiHidden/>
    <w:unhideWhenUsed/>
    <w:rsid w:val="00BF04AA"/>
    <w:rPr>
      <w:sz w:val="20"/>
    </w:rPr>
  </w:style>
  <w:style w:type="character" w:customStyle="1" w:styleId="EndnoteTextChar">
    <w:name w:val="Endnote Text Char"/>
    <w:basedOn w:val="DefaultParagraphFont"/>
    <w:link w:val="EndnoteText"/>
    <w:uiPriority w:val="99"/>
    <w:semiHidden/>
    <w:rsid w:val="00BF04AA"/>
  </w:style>
  <w:style w:type="character" w:styleId="EndnoteReference">
    <w:name w:val="endnote reference"/>
    <w:basedOn w:val="DefaultParagraphFont"/>
    <w:uiPriority w:val="99"/>
    <w:semiHidden/>
    <w:unhideWhenUsed/>
    <w:rsid w:val="00BF04AA"/>
    <w:rPr>
      <w:vertAlign w:val="superscript"/>
    </w:rPr>
  </w:style>
  <w:style w:type="character" w:styleId="CommentReference">
    <w:name w:val="annotation reference"/>
    <w:basedOn w:val="DefaultParagraphFont"/>
    <w:uiPriority w:val="99"/>
    <w:semiHidden/>
    <w:unhideWhenUsed/>
    <w:rsid w:val="001F7E13"/>
    <w:rPr>
      <w:sz w:val="16"/>
      <w:szCs w:val="16"/>
    </w:rPr>
  </w:style>
  <w:style w:type="paragraph" w:styleId="CommentText">
    <w:name w:val="annotation text"/>
    <w:basedOn w:val="Normal"/>
    <w:link w:val="CommentTextChar"/>
    <w:uiPriority w:val="99"/>
    <w:unhideWhenUsed/>
    <w:rsid w:val="001F7E13"/>
    <w:rPr>
      <w:sz w:val="20"/>
    </w:rPr>
  </w:style>
  <w:style w:type="character" w:customStyle="1" w:styleId="CommentTextChar">
    <w:name w:val="Comment Text Char"/>
    <w:basedOn w:val="DefaultParagraphFont"/>
    <w:link w:val="CommentText"/>
    <w:uiPriority w:val="99"/>
    <w:rsid w:val="001F7E13"/>
  </w:style>
  <w:style w:type="paragraph" w:styleId="CommentSubject">
    <w:name w:val="annotation subject"/>
    <w:basedOn w:val="CommentText"/>
    <w:next w:val="CommentText"/>
    <w:link w:val="CommentSubjectChar"/>
    <w:uiPriority w:val="99"/>
    <w:semiHidden/>
    <w:unhideWhenUsed/>
    <w:rsid w:val="001F7E13"/>
    <w:rPr>
      <w:b/>
      <w:bCs/>
    </w:rPr>
  </w:style>
  <w:style w:type="character" w:customStyle="1" w:styleId="CommentSubjectChar">
    <w:name w:val="Comment Subject Char"/>
    <w:basedOn w:val="CommentTextChar"/>
    <w:link w:val="CommentSubject"/>
    <w:uiPriority w:val="99"/>
    <w:semiHidden/>
    <w:rsid w:val="001F7E13"/>
    <w:rPr>
      <w:b/>
      <w:bCs/>
    </w:rPr>
  </w:style>
  <w:style w:type="character" w:customStyle="1" w:styleId="coconcept1620">
    <w:name w:val="co_concept_16_20"/>
    <w:basedOn w:val="DefaultParagraphFont"/>
    <w:rsid w:val="003E64D8"/>
  </w:style>
  <w:style w:type="character" w:customStyle="1" w:styleId="coconcept3638">
    <w:name w:val="co_concept_36_38"/>
    <w:basedOn w:val="DefaultParagraphFont"/>
    <w:rsid w:val="003E64D8"/>
  </w:style>
  <w:style w:type="character" w:customStyle="1" w:styleId="coconcept4348">
    <w:name w:val="co_concept_43_48"/>
    <w:basedOn w:val="DefaultParagraphFont"/>
    <w:rsid w:val="003E64D8"/>
  </w:style>
  <w:style w:type="paragraph" w:styleId="Revision">
    <w:name w:val="Revision"/>
    <w:hidden/>
    <w:uiPriority w:val="99"/>
    <w:semiHidden/>
    <w:rsid w:val="009E495C"/>
    <w:rPr>
      <w:sz w:val="22"/>
    </w:rPr>
  </w:style>
  <w:style w:type="paragraph" w:styleId="ListBullet">
    <w:name w:val="List Bullet"/>
    <w:basedOn w:val="Normal"/>
    <w:uiPriority w:val="99"/>
    <w:unhideWhenUsed/>
    <w:rsid w:val="00CD23F8"/>
    <w:pPr>
      <w:numPr>
        <w:numId w:val="27"/>
      </w:numPr>
      <w:contextualSpacing/>
    </w:pPr>
  </w:style>
  <w:style w:type="character" w:styleId="FollowedHyperlink">
    <w:name w:val="FollowedHyperlink"/>
    <w:basedOn w:val="DefaultParagraphFont"/>
    <w:uiPriority w:val="99"/>
    <w:semiHidden/>
    <w:unhideWhenUsed/>
    <w:rsid w:val="005831A8"/>
    <w:rPr>
      <w:color w:val="800080" w:themeColor="followedHyperlink"/>
      <w:u w:val="single"/>
    </w:rPr>
  </w:style>
  <w:style w:type="character" w:styleId="Strong">
    <w:name w:val="Strong"/>
    <w:basedOn w:val="DefaultParagraphFont"/>
    <w:uiPriority w:val="22"/>
    <w:qFormat/>
    <w:rsid w:val="00D5711B"/>
    <w:rPr>
      <w:b/>
      <w:bCs/>
    </w:rPr>
  </w:style>
  <w:style w:type="character" w:customStyle="1" w:styleId="FootNoteChar">
    <w:name w:val="_FootNote Char"/>
    <w:basedOn w:val="DefaultParagraphFont"/>
    <w:link w:val="FootNote"/>
    <w:rsid w:val="00810FA2"/>
    <w:rPr>
      <w:sz w:val="17"/>
    </w:rPr>
  </w:style>
  <w:style w:type="table" w:styleId="GridTable5Dark-Accent3">
    <w:name w:val="Grid Table 5 Dark Accent 3"/>
    <w:basedOn w:val="TableNormal"/>
    <w:uiPriority w:val="50"/>
    <w:rsid w:val="004A50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
    <w:name w:val="Table Grid"/>
    <w:basedOn w:val="TableNormal"/>
    <w:uiPriority w:val="39"/>
    <w:rsid w:val="004A50F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50F2"/>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527">
      <w:bodyDiv w:val="1"/>
      <w:marLeft w:val="0"/>
      <w:marRight w:val="0"/>
      <w:marTop w:val="0"/>
      <w:marBottom w:val="0"/>
      <w:divBdr>
        <w:top w:val="none" w:sz="0" w:space="0" w:color="auto"/>
        <w:left w:val="none" w:sz="0" w:space="0" w:color="auto"/>
        <w:bottom w:val="none" w:sz="0" w:space="0" w:color="auto"/>
        <w:right w:val="none" w:sz="0" w:space="0" w:color="auto"/>
      </w:divBdr>
    </w:div>
    <w:div w:id="456338293">
      <w:bodyDiv w:val="1"/>
      <w:marLeft w:val="0"/>
      <w:marRight w:val="0"/>
      <w:marTop w:val="0"/>
      <w:marBottom w:val="0"/>
      <w:divBdr>
        <w:top w:val="none" w:sz="0" w:space="0" w:color="auto"/>
        <w:left w:val="none" w:sz="0" w:space="0" w:color="auto"/>
        <w:bottom w:val="none" w:sz="0" w:space="0" w:color="auto"/>
        <w:right w:val="none" w:sz="0" w:space="0" w:color="auto"/>
      </w:divBdr>
    </w:div>
    <w:div w:id="535124808">
      <w:bodyDiv w:val="1"/>
      <w:marLeft w:val="0"/>
      <w:marRight w:val="0"/>
      <w:marTop w:val="0"/>
      <w:marBottom w:val="0"/>
      <w:divBdr>
        <w:top w:val="none" w:sz="0" w:space="0" w:color="auto"/>
        <w:left w:val="none" w:sz="0" w:space="0" w:color="auto"/>
        <w:bottom w:val="none" w:sz="0" w:space="0" w:color="auto"/>
        <w:right w:val="none" w:sz="0" w:space="0" w:color="auto"/>
      </w:divBdr>
    </w:div>
    <w:div w:id="565725481">
      <w:bodyDiv w:val="1"/>
      <w:marLeft w:val="0"/>
      <w:marRight w:val="0"/>
      <w:marTop w:val="0"/>
      <w:marBottom w:val="0"/>
      <w:divBdr>
        <w:top w:val="none" w:sz="0" w:space="0" w:color="auto"/>
        <w:left w:val="none" w:sz="0" w:space="0" w:color="auto"/>
        <w:bottom w:val="none" w:sz="0" w:space="0" w:color="auto"/>
        <w:right w:val="none" w:sz="0" w:space="0" w:color="auto"/>
      </w:divBdr>
    </w:div>
    <w:div w:id="628630291">
      <w:bodyDiv w:val="1"/>
      <w:marLeft w:val="0"/>
      <w:marRight w:val="0"/>
      <w:marTop w:val="0"/>
      <w:marBottom w:val="0"/>
      <w:divBdr>
        <w:top w:val="none" w:sz="0" w:space="0" w:color="auto"/>
        <w:left w:val="none" w:sz="0" w:space="0" w:color="auto"/>
        <w:bottom w:val="none" w:sz="0" w:space="0" w:color="auto"/>
        <w:right w:val="none" w:sz="0" w:space="0" w:color="auto"/>
      </w:divBdr>
    </w:div>
    <w:div w:id="632907752">
      <w:bodyDiv w:val="1"/>
      <w:marLeft w:val="0"/>
      <w:marRight w:val="0"/>
      <w:marTop w:val="0"/>
      <w:marBottom w:val="0"/>
      <w:divBdr>
        <w:top w:val="none" w:sz="0" w:space="0" w:color="auto"/>
        <w:left w:val="none" w:sz="0" w:space="0" w:color="auto"/>
        <w:bottom w:val="none" w:sz="0" w:space="0" w:color="auto"/>
        <w:right w:val="none" w:sz="0" w:space="0" w:color="auto"/>
      </w:divBdr>
    </w:div>
    <w:div w:id="731537545">
      <w:bodyDiv w:val="1"/>
      <w:marLeft w:val="0"/>
      <w:marRight w:val="0"/>
      <w:marTop w:val="0"/>
      <w:marBottom w:val="0"/>
      <w:divBdr>
        <w:top w:val="none" w:sz="0" w:space="0" w:color="auto"/>
        <w:left w:val="none" w:sz="0" w:space="0" w:color="auto"/>
        <w:bottom w:val="none" w:sz="0" w:space="0" w:color="auto"/>
        <w:right w:val="none" w:sz="0" w:space="0" w:color="auto"/>
      </w:divBdr>
      <w:divsChild>
        <w:div w:id="984043907">
          <w:marLeft w:val="0"/>
          <w:marRight w:val="0"/>
          <w:marTop w:val="0"/>
          <w:marBottom w:val="0"/>
          <w:divBdr>
            <w:top w:val="none" w:sz="0" w:space="0" w:color="auto"/>
            <w:left w:val="none" w:sz="0" w:space="0" w:color="auto"/>
            <w:bottom w:val="none" w:sz="0" w:space="0" w:color="auto"/>
            <w:right w:val="none" w:sz="0" w:space="0" w:color="auto"/>
          </w:divBdr>
        </w:div>
      </w:divsChild>
    </w:div>
    <w:div w:id="763769139">
      <w:bodyDiv w:val="1"/>
      <w:marLeft w:val="0"/>
      <w:marRight w:val="0"/>
      <w:marTop w:val="0"/>
      <w:marBottom w:val="0"/>
      <w:divBdr>
        <w:top w:val="none" w:sz="0" w:space="0" w:color="auto"/>
        <w:left w:val="none" w:sz="0" w:space="0" w:color="auto"/>
        <w:bottom w:val="none" w:sz="0" w:space="0" w:color="auto"/>
        <w:right w:val="none" w:sz="0" w:space="0" w:color="auto"/>
      </w:divBdr>
    </w:div>
    <w:div w:id="804272501">
      <w:bodyDiv w:val="1"/>
      <w:marLeft w:val="0"/>
      <w:marRight w:val="0"/>
      <w:marTop w:val="0"/>
      <w:marBottom w:val="0"/>
      <w:divBdr>
        <w:top w:val="none" w:sz="0" w:space="0" w:color="auto"/>
        <w:left w:val="none" w:sz="0" w:space="0" w:color="auto"/>
        <w:bottom w:val="none" w:sz="0" w:space="0" w:color="auto"/>
        <w:right w:val="none" w:sz="0" w:space="0" w:color="auto"/>
      </w:divBdr>
    </w:div>
    <w:div w:id="916549812">
      <w:bodyDiv w:val="1"/>
      <w:marLeft w:val="0"/>
      <w:marRight w:val="0"/>
      <w:marTop w:val="0"/>
      <w:marBottom w:val="0"/>
      <w:divBdr>
        <w:top w:val="none" w:sz="0" w:space="0" w:color="auto"/>
        <w:left w:val="none" w:sz="0" w:space="0" w:color="auto"/>
        <w:bottom w:val="none" w:sz="0" w:space="0" w:color="auto"/>
        <w:right w:val="none" w:sz="0" w:space="0" w:color="auto"/>
      </w:divBdr>
    </w:div>
    <w:div w:id="921375376">
      <w:bodyDiv w:val="1"/>
      <w:marLeft w:val="0"/>
      <w:marRight w:val="0"/>
      <w:marTop w:val="0"/>
      <w:marBottom w:val="0"/>
      <w:divBdr>
        <w:top w:val="none" w:sz="0" w:space="0" w:color="auto"/>
        <w:left w:val="none" w:sz="0" w:space="0" w:color="auto"/>
        <w:bottom w:val="none" w:sz="0" w:space="0" w:color="auto"/>
        <w:right w:val="none" w:sz="0" w:space="0" w:color="auto"/>
      </w:divBdr>
    </w:div>
    <w:div w:id="948003095">
      <w:bodyDiv w:val="1"/>
      <w:marLeft w:val="0"/>
      <w:marRight w:val="0"/>
      <w:marTop w:val="0"/>
      <w:marBottom w:val="0"/>
      <w:divBdr>
        <w:top w:val="none" w:sz="0" w:space="0" w:color="auto"/>
        <w:left w:val="none" w:sz="0" w:space="0" w:color="auto"/>
        <w:bottom w:val="none" w:sz="0" w:space="0" w:color="auto"/>
        <w:right w:val="none" w:sz="0" w:space="0" w:color="auto"/>
      </w:divBdr>
    </w:div>
    <w:div w:id="975060777">
      <w:bodyDiv w:val="1"/>
      <w:marLeft w:val="0"/>
      <w:marRight w:val="0"/>
      <w:marTop w:val="0"/>
      <w:marBottom w:val="0"/>
      <w:divBdr>
        <w:top w:val="none" w:sz="0" w:space="0" w:color="auto"/>
        <w:left w:val="none" w:sz="0" w:space="0" w:color="auto"/>
        <w:bottom w:val="none" w:sz="0" w:space="0" w:color="auto"/>
        <w:right w:val="none" w:sz="0" w:space="0" w:color="auto"/>
      </w:divBdr>
    </w:div>
    <w:div w:id="1028138952">
      <w:bodyDiv w:val="1"/>
      <w:marLeft w:val="0"/>
      <w:marRight w:val="0"/>
      <w:marTop w:val="0"/>
      <w:marBottom w:val="0"/>
      <w:divBdr>
        <w:top w:val="none" w:sz="0" w:space="0" w:color="auto"/>
        <w:left w:val="none" w:sz="0" w:space="0" w:color="auto"/>
        <w:bottom w:val="none" w:sz="0" w:space="0" w:color="auto"/>
        <w:right w:val="none" w:sz="0" w:space="0" w:color="auto"/>
      </w:divBdr>
    </w:div>
    <w:div w:id="1047947454">
      <w:bodyDiv w:val="1"/>
      <w:marLeft w:val="0"/>
      <w:marRight w:val="0"/>
      <w:marTop w:val="0"/>
      <w:marBottom w:val="0"/>
      <w:divBdr>
        <w:top w:val="none" w:sz="0" w:space="0" w:color="auto"/>
        <w:left w:val="none" w:sz="0" w:space="0" w:color="auto"/>
        <w:bottom w:val="none" w:sz="0" w:space="0" w:color="auto"/>
        <w:right w:val="none" w:sz="0" w:space="0" w:color="auto"/>
      </w:divBdr>
    </w:div>
    <w:div w:id="1188526954">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
    <w:div w:id="1431047786">
      <w:bodyDiv w:val="1"/>
      <w:marLeft w:val="0"/>
      <w:marRight w:val="0"/>
      <w:marTop w:val="0"/>
      <w:marBottom w:val="0"/>
      <w:divBdr>
        <w:top w:val="none" w:sz="0" w:space="0" w:color="auto"/>
        <w:left w:val="none" w:sz="0" w:space="0" w:color="auto"/>
        <w:bottom w:val="none" w:sz="0" w:space="0" w:color="auto"/>
        <w:right w:val="none" w:sz="0" w:space="0" w:color="auto"/>
      </w:divBdr>
    </w:div>
    <w:div w:id="19936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hicagotribune.com/news/laquanmcdonald/ct-graphics-laquan-mcdonald-officers-fired-timeline-htmlstory.html" TargetMode="External"/><Relationship Id="rId2" Type="http://schemas.openxmlformats.org/officeDocument/2006/relationships/hyperlink" Target="https://www.nytimes.com/2015/04/16/us/chicago-pays-5-million-to-family-of-black-teenager-killed-by-officer.html" TargetMode="External"/><Relationship Id="rId1" Type="http://schemas.openxmlformats.org/officeDocument/2006/relationships/hyperlink" Target="https://www.washingtonpost.com/news/post-nation/wp/2015/11/25/why-did-authorities-say-laquan-mcdonald-lunged-at-chicago-police-officers/" TargetMode="External"/><Relationship Id="rId4" Type="http://schemas.openxmlformats.org/officeDocument/2006/relationships/hyperlink" Target="https://1.next.westlaw.com/Link/Document/FullText?findType=L&amp;pubNum=1000546&amp;cite=42USCAS1983&amp;originatingDoc=I4837786cf1f211e1b343c837631e1747&amp;refType=LQ&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10D35B-2848-9C41-A75B-D65E0921F94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9809651AC7E242AD33FC6127A134EA" ma:contentTypeVersion="6" ma:contentTypeDescription="Create a new document." ma:contentTypeScope="" ma:versionID="ace2fc552f0e648f98efe218e4084448">
  <xsd:schema xmlns:xsd="http://www.w3.org/2001/XMLSchema" xmlns:xs="http://www.w3.org/2001/XMLSchema" xmlns:p="http://schemas.microsoft.com/office/2006/metadata/properties" xmlns:ns2="85820ade-df2d-49f3-8181-9e9a393db326" xmlns:ns3="d67a59e5-ff41-4a2a-8e80-4da498554288" targetNamespace="http://schemas.microsoft.com/office/2006/metadata/properties" ma:root="true" ma:fieldsID="3dc8f01657f32ae3a0ae825538a99f42" ns2:_="" ns3:_="">
    <xsd:import namespace="85820ade-df2d-49f3-8181-9e9a393db326"/>
    <xsd:import namespace="d67a59e5-ff41-4a2a-8e80-4da498554288"/>
    <xsd:element name="properties">
      <xsd:complexType>
        <xsd:sequence>
          <xsd:element name="documentManagement">
            <xsd:complexType>
              <xsd:all>
                <xsd:element ref="ns2:_dlc_DocId" minOccurs="0"/>
                <xsd:element ref="ns2:_dlc_DocIdUrl" minOccurs="0"/>
                <xsd:element ref="ns2:_dlc_DocIdPersistId" minOccurs="0"/>
                <xsd:element ref="ns3:Author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20ade-df2d-49f3-8181-9e9a393db3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a59e5-ff41-4a2a-8e80-4da498554288" elementFormDefault="qualified">
    <xsd:import namespace="http://schemas.microsoft.com/office/2006/documentManagement/types"/>
    <xsd:import namespace="http://schemas.microsoft.com/office/infopath/2007/PartnerControls"/>
    <xsd:element name="Author0" ma:index="11" ma:displayName="Author" ma:list="{4094312e-d879-4a32-a084-9d197f3830bb}" ma:internalName="Author0" ma:showField="LinkTitleNoMenu">
      <xsd:simpleType>
        <xsd:restriction base="dms:Lookup"/>
      </xsd:simpleType>
    </xsd:element>
    <xsd:element name="Phase" ma:index="12" ma:displayName="Phase" ma:default="00 From Author" ma:format="Dropdown" ma:internalName="Phase">
      <xsd:simpleType>
        <xsd:restriction base="dms:Choice">
          <xsd:enumeration value="00 From Author"/>
          <xsd:enumeration value="01 E1"/>
          <xsd:enumeration value="02 A1"/>
          <xsd:enumeration value="03 BBCC"/>
          <xsd:enumeration value="04 E2"/>
          <xsd:enumeration value="05 E3"/>
          <xsd:enumeration value="06 A2"/>
          <xsd:enumeration value="07 RP"/>
          <xsd:enumeration value="08 Proofread"/>
          <xsd:enumeration value="09 A3"/>
          <xsd:enumeration value="10 F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d67a59e5-ff41-4a2a-8e80-4da498554288">05 E3</Phase>
    <Author0 xmlns="d67a59e5-ff41-4a2a-8e80-4da498554288">80</Author0>
    <_dlc_DocId xmlns="85820ade-df2d-49f3-8181-9e9a393db326">E7HUJA3VWS4T-1354824368-1277</_dlc_DocId>
    <_dlc_DocIdUrl xmlns="85820ade-df2d-49f3-8181-9e9a393db326">
      <Url>https://share.law.utexas.edu/tlr/_layouts/15/DocIdRedir.aspx?ID=E7HUJA3VWS4T-1354824368-1277</Url>
      <Description>E7HUJA3VWS4T-1354824368-1277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6D17-538D-4626-B501-187D01B1052E}">
  <ds:schemaRefs>
    <ds:schemaRef ds:uri="http://schemas.microsoft.com/sharepoint/v3/contenttype/forms"/>
  </ds:schemaRefs>
</ds:datastoreItem>
</file>

<file path=customXml/itemProps2.xml><?xml version="1.0" encoding="utf-8"?>
<ds:datastoreItem xmlns:ds="http://schemas.openxmlformats.org/officeDocument/2006/customXml" ds:itemID="{8A55056C-27E9-41B3-87E4-3DFE1C41F016}">
  <ds:schemaRefs>
    <ds:schemaRef ds:uri="http://schemas.microsoft.com/sharepoint/events"/>
  </ds:schemaRefs>
</ds:datastoreItem>
</file>

<file path=customXml/itemProps3.xml><?xml version="1.0" encoding="utf-8"?>
<ds:datastoreItem xmlns:ds="http://schemas.openxmlformats.org/officeDocument/2006/customXml" ds:itemID="{4ADB8E81-0D04-4987-8B24-926E968A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20ade-df2d-49f3-8181-9e9a393db326"/>
    <ds:schemaRef ds:uri="d67a59e5-ff41-4a2a-8e80-4da498554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AA29E-2C96-474C-9855-F443B70DF758}">
  <ds:schemaRefs>
    <ds:schemaRef ds:uri="http://schemas.microsoft.com/office/2006/metadata/properties"/>
    <ds:schemaRef ds:uri="http://schemas.microsoft.com/office/infopath/2007/PartnerControls"/>
    <ds:schemaRef ds:uri="d67a59e5-ff41-4a2a-8e80-4da498554288"/>
    <ds:schemaRef ds:uri="85820ade-df2d-49f3-8181-9e9a393db326"/>
  </ds:schemaRefs>
</ds:datastoreItem>
</file>

<file path=customXml/itemProps5.xml><?xml version="1.0" encoding="utf-8"?>
<ds:datastoreItem xmlns:ds="http://schemas.openxmlformats.org/officeDocument/2006/customXml" ds:itemID="{F090EA80-2A32-8B4A-866A-42E0C0B6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11801</Words>
  <Characters>67269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78913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julialdifiore@gmail.com</cp:lastModifiedBy>
  <cp:revision>4</cp:revision>
  <cp:lastPrinted>2022-03-14T15:10:00Z</cp:lastPrinted>
  <dcterms:created xsi:type="dcterms:W3CDTF">2022-04-10T18:49:00Z</dcterms:created>
  <dcterms:modified xsi:type="dcterms:W3CDTF">2022-04-10T18:54:00Z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eef051fd-7b83-47b3-a5fb-eecb04e785f0</vt:lpwstr>
  </property>
  <property fmtid="{D5CDD505-2E9C-101B-9397-08002B2CF9AE}" pid="3" name="ContentTypeId">
    <vt:lpwstr>0x010100439809651AC7E242AD33FC6127A134EA</vt:lpwstr>
  </property>
  <property fmtid="{D5CDD505-2E9C-101B-9397-08002B2CF9AE}" pid="4" name="grammarly_documentId">
    <vt:lpwstr>documentId_963</vt:lpwstr>
  </property>
  <property fmtid="{D5CDD505-2E9C-101B-9397-08002B2CF9AE}" pid="5" name="grammarly_documentContext">
    <vt:lpwstr>{"goals":[],"domain":"general","emotions":[],"dialect":"american"}</vt:lpwstr>
  </property>
</Properties>
</file>